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D8" w:rsidRPr="001D56A2" w:rsidRDefault="003B5220" w:rsidP="00E14E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Fluxos migratórios </w:t>
      </w:r>
      <w:r w:rsidR="006203A5" w:rsidRPr="001D56A2">
        <w:rPr>
          <w:rFonts w:ascii="Times New Roman" w:hAnsi="Times New Roman" w:cs="Times New Roman"/>
          <w:b/>
          <w:sz w:val="28"/>
          <w:szCs w:val="24"/>
        </w:rPr>
        <w:t xml:space="preserve">nas microrregiões da </w:t>
      </w:r>
      <w:r w:rsidR="00E14E8F" w:rsidRPr="001D56A2">
        <w:rPr>
          <w:rFonts w:ascii="Times New Roman" w:hAnsi="Times New Roman" w:cs="Times New Roman"/>
          <w:b/>
          <w:sz w:val="28"/>
          <w:szCs w:val="24"/>
        </w:rPr>
        <w:t>região de MATOPIBA</w:t>
      </w:r>
    </w:p>
    <w:p w:rsidR="00080540" w:rsidRPr="00186C99" w:rsidRDefault="00186C99" w:rsidP="001D56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56A2">
        <w:rPr>
          <w:rFonts w:ascii="Times New Roman" w:hAnsi="Times New Roman" w:cs="Times New Roman"/>
          <w:sz w:val="24"/>
          <w:szCs w:val="24"/>
        </w:rPr>
        <w:t>MATOPIBA</w:t>
      </w:r>
      <w:r w:rsidR="003B5220">
        <w:rPr>
          <w:rFonts w:ascii="Times New Roman" w:hAnsi="Times New Roman" w:cs="Times New Roman"/>
          <w:sz w:val="24"/>
          <w:szCs w:val="24"/>
        </w:rPr>
        <w:t xml:space="preserve"> apresenta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 dinamismo crescente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desenvolvimento associado ao uso e ocupação das terras, com </w:t>
      </w:r>
      <w:r w:rsidRPr="00186C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C99">
        <w:rPr>
          <w:rFonts w:ascii="Times New Roman" w:hAnsi="Times New Roman" w:cs="Times New Roman"/>
          <w:sz w:val="24"/>
          <w:szCs w:val="24"/>
        </w:rPr>
        <w:t>substituição das pastagens extensiva em campos e cerrada</w:t>
      </w:r>
      <w:r w:rsidR="001D56A2"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por uma agricultura mecanizada e áreas de irrigação. 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processo teve início no estado da Bahia, gerando riquezas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transformando as áreas urbanas vizinhas com a chegada de</w:t>
      </w:r>
      <w:r w:rsidR="001D56A2"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indústrias e serviços integrados na montante e na jusante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produção agropecuária.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Esse fenômeno também ocorreu e ainda ocorre de forma análoga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no sul dos estados do Maranhão e Piauí, em condições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agroecológicas e socioeconômicas diferenciadas. No caso do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Tocantins, importantes centros de aprovisionamento,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suprimentos e de apoio logístico (armazenagem e transporte),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>ligados às atividades agrícolas em áreas de cerrado, também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consolidaram nos últimos anos (Miranda </w:t>
      </w:r>
      <w:proofErr w:type="gramStart"/>
      <w:r w:rsidR="00080540" w:rsidRPr="00186C99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="00080540" w:rsidRPr="00186C99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="00080540" w:rsidRPr="00186C99">
        <w:rPr>
          <w:rFonts w:ascii="Times New Roman" w:hAnsi="Times New Roman" w:cs="Times New Roman"/>
          <w:sz w:val="24"/>
          <w:szCs w:val="24"/>
        </w:rPr>
        <w:t>., 2014).</w:t>
      </w:r>
    </w:p>
    <w:p w:rsidR="001D56A2" w:rsidRPr="001D56A2" w:rsidRDefault="00186C99" w:rsidP="001D56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0540" w:rsidRPr="00186C99">
        <w:rPr>
          <w:rFonts w:ascii="Times New Roman" w:hAnsi="Times New Roman" w:cs="Times New Roman"/>
          <w:sz w:val="24"/>
          <w:szCs w:val="24"/>
        </w:rPr>
        <w:t>A EMBRAPA ao realizar a caracterização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 da</w:t>
      </w:r>
      <w:r w:rsidR="00080540"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923F1A" w:rsidRPr="00186C99">
        <w:rPr>
          <w:rFonts w:ascii="Times New Roman" w:hAnsi="Times New Roman" w:cs="Times New Roman"/>
          <w:sz w:val="24"/>
          <w:szCs w:val="24"/>
        </w:rPr>
        <w:t>distribuição espaço-temporal da</w:t>
      </w:r>
      <w:r w:rsidR="001D56A2">
        <w:rPr>
          <w:rFonts w:ascii="Times New Roman" w:hAnsi="Times New Roman" w:cs="Times New Roman"/>
          <w:sz w:val="24"/>
          <w:szCs w:val="24"/>
        </w:rPr>
        <w:t xml:space="preserve"> </w:t>
      </w:r>
      <w:r w:rsidR="00923F1A" w:rsidRPr="00186C99">
        <w:rPr>
          <w:rFonts w:ascii="Times New Roman" w:hAnsi="Times New Roman" w:cs="Times New Roman"/>
          <w:sz w:val="24"/>
          <w:szCs w:val="24"/>
        </w:rPr>
        <w:t>população total, urbana e rural do MATOPIBA, no nível de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923F1A" w:rsidRPr="00186C99">
        <w:rPr>
          <w:rFonts w:ascii="Times New Roman" w:hAnsi="Times New Roman" w:cs="Times New Roman"/>
          <w:sz w:val="24"/>
          <w:szCs w:val="24"/>
        </w:rPr>
        <w:t>microrregião, entre 1991 e 2010,</w:t>
      </w:r>
      <w:r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923F1A" w:rsidRPr="00186C99">
        <w:rPr>
          <w:rFonts w:ascii="Times New Roman" w:hAnsi="Times New Roman" w:cs="Times New Roman"/>
          <w:sz w:val="24"/>
          <w:szCs w:val="24"/>
        </w:rPr>
        <w:t>considerou os dados de p</w:t>
      </w:r>
      <w:r w:rsidR="00923F1A" w:rsidRPr="00186C99">
        <w:rPr>
          <w:rFonts w:ascii="Times New Roman" w:hAnsi="Times New Roman" w:cs="Times New Roman"/>
          <w:sz w:val="24"/>
          <w:szCs w:val="24"/>
        </w:rPr>
        <w:t>opulaçã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o total, 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população urbana, população rural 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e densidade demográfica, </w:t>
      </w:r>
      <w:r w:rsidR="00923F1A" w:rsidRPr="00186C99">
        <w:rPr>
          <w:rFonts w:ascii="Times New Roman" w:hAnsi="Times New Roman" w:cs="Times New Roman"/>
          <w:sz w:val="24"/>
          <w:szCs w:val="24"/>
        </w:rPr>
        <w:t>nos Estados do MATOPIBA</w:t>
      </w:r>
      <w:r w:rsidR="00923F1A" w:rsidRPr="00186C99">
        <w:rPr>
          <w:rFonts w:ascii="Times New Roman" w:hAnsi="Times New Roman" w:cs="Times New Roman"/>
          <w:sz w:val="24"/>
          <w:szCs w:val="24"/>
        </w:rPr>
        <w:t>. Com este levantamento observou-se que a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 concentração espacial da população no MATOPIBA em poucas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1A" w:rsidRPr="00186C99">
        <w:rPr>
          <w:rFonts w:ascii="Times New Roman" w:hAnsi="Times New Roman" w:cs="Times New Roman"/>
          <w:sz w:val="24"/>
          <w:szCs w:val="24"/>
        </w:rPr>
        <w:t>microrregiões não é recente. Ao analisar os períodos de 1991,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1A" w:rsidRPr="00186C99">
        <w:rPr>
          <w:rFonts w:ascii="Times New Roman" w:hAnsi="Times New Roman" w:cs="Times New Roman"/>
          <w:sz w:val="24"/>
          <w:szCs w:val="24"/>
        </w:rPr>
        <w:t>2000 e 2010</w:t>
      </w:r>
      <w:r w:rsidRPr="00186C99">
        <w:rPr>
          <w:rFonts w:ascii="Times New Roman" w:hAnsi="Times New Roman" w:cs="Times New Roman"/>
          <w:sz w:val="24"/>
          <w:szCs w:val="24"/>
        </w:rPr>
        <w:t>, observa-se que a população se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 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concentrou em </w:t>
      </w:r>
      <w:proofErr w:type="gramStart"/>
      <w:r w:rsidR="00923F1A" w:rsidRPr="00186C99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923F1A" w:rsidRPr="00186C99">
        <w:rPr>
          <w:rFonts w:ascii="Times New Roman" w:hAnsi="Times New Roman" w:cs="Times New Roman"/>
          <w:sz w:val="24"/>
          <w:szCs w:val="24"/>
        </w:rPr>
        <w:t xml:space="preserve"> microrregi</w:t>
      </w:r>
      <w:r w:rsidR="00923F1A" w:rsidRPr="00186C99">
        <w:rPr>
          <w:rFonts w:ascii="Times New Roman" w:hAnsi="Times New Roman" w:cs="Times New Roman"/>
          <w:sz w:val="24"/>
          <w:szCs w:val="24"/>
        </w:rPr>
        <w:t>ões em todos os períodos.</w:t>
      </w:r>
      <w:r w:rsidR="001D56A2">
        <w:rPr>
          <w:rFonts w:ascii="Times New Roman" w:hAnsi="Times New Roman" w:cs="Times New Roman"/>
          <w:sz w:val="24"/>
          <w:szCs w:val="24"/>
        </w:rPr>
        <w:t xml:space="preserve"> Para estes</w:t>
      </w:r>
      <w:r w:rsidR="001D56A2" w:rsidRPr="001D56A2">
        <w:rPr>
          <w:rFonts w:ascii="Times New Roman" w:hAnsi="Times New Roman" w:cs="Times New Roman"/>
          <w:sz w:val="24"/>
          <w:szCs w:val="24"/>
        </w:rPr>
        <w:t xml:space="preserve"> períodos </w:t>
      </w:r>
      <w:proofErr w:type="gramStart"/>
      <w:r w:rsidR="001D56A2" w:rsidRPr="001D56A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D56A2" w:rsidRPr="001D56A2">
        <w:rPr>
          <w:rFonts w:ascii="Times New Roman" w:hAnsi="Times New Roman" w:cs="Times New Roman"/>
          <w:sz w:val="24"/>
          <w:szCs w:val="24"/>
        </w:rPr>
        <w:t xml:space="preserve"> delas permaneceram</w:t>
      </w:r>
      <w:r w:rsidR="001D56A2">
        <w:rPr>
          <w:rFonts w:ascii="Times New Roman" w:hAnsi="Times New Roman" w:cs="Times New Roman"/>
          <w:sz w:val="24"/>
          <w:szCs w:val="24"/>
        </w:rPr>
        <w:t xml:space="preserve"> </w:t>
      </w:r>
      <w:r w:rsidR="001D56A2" w:rsidRPr="001D56A2">
        <w:rPr>
          <w:rFonts w:ascii="Times New Roman" w:hAnsi="Times New Roman" w:cs="Times New Roman"/>
          <w:sz w:val="24"/>
          <w:szCs w:val="24"/>
        </w:rPr>
        <w:t>no grupo desde 1991: Imperatriz, Médio Mearim, Caxias, Alto</w:t>
      </w:r>
    </w:p>
    <w:p w:rsidR="001D56A2" w:rsidRDefault="001D56A2" w:rsidP="00186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A2">
        <w:rPr>
          <w:rFonts w:ascii="Times New Roman" w:hAnsi="Times New Roman" w:cs="Times New Roman"/>
          <w:sz w:val="24"/>
          <w:szCs w:val="24"/>
        </w:rPr>
        <w:t>Mearim e Gra</w:t>
      </w:r>
      <w:r>
        <w:rPr>
          <w:rFonts w:ascii="Times New Roman" w:hAnsi="Times New Roman" w:cs="Times New Roman"/>
          <w:sz w:val="24"/>
          <w:szCs w:val="24"/>
        </w:rPr>
        <w:t xml:space="preserve">jaú, Codó (MA) e Araguaína (TO). </w:t>
      </w:r>
      <w:r w:rsidRPr="001D56A2">
        <w:rPr>
          <w:rFonts w:ascii="Times New Roman" w:hAnsi="Times New Roman" w:cs="Times New Roman"/>
          <w:sz w:val="24"/>
          <w:szCs w:val="24"/>
        </w:rPr>
        <w:t>Entre 1991 e 2000,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6A2">
        <w:rPr>
          <w:rFonts w:ascii="Times New Roman" w:hAnsi="Times New Roman" w:cs="Times New Roman"/>
          <w:sz w:val="24"/>
          <w:szCs w:val="24"/>
        </w:rPr>
        <w:t>microrregiões de Santa Maria da Vitória (BA) e Presidente Dutra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6A2">
        <w:rPr>
          <w:rFonts w:ascii="Times New Roman" w:hAnsi="Times New Roman" w:cs="Times New Roman"/>
          <w:sz w:val="24"/>
          <w:szCs w:val="24"/>
        </w:rPr>
        <w:t>(MA) deram lugar às microrregiões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6A2">
        <w:rPr>
          <w:rFonts w:ascii="Times New Roman" w:hAnsi="Times New Roman" w:cs="Times New Roman"/>
          <w:sz w:val="24"/>
          <w:szCs w:val="24"/>
        </w:rPr>
        <w:t>Barre</w:t>
      </w:r>
      <w:r>
        <w:rPr>
          <w:rFonts w:ascii="Times New Roman" w:hAnsi="Times New Roman" w:cs="Times New Roman"/>
          <w:sz w:val="24"/>
          <w:szCs w:val="24"/>
        </w:rPr>
        <w:t xml:space="preserve">iras (BA) e Porto Nacional (TO). </w:t>
      </w:r>
      <w:r w:rsidRPr="001D56A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6A2">
        <w:rPr>
          <w:rFonts w:ascii="Times New Roman" w:hAnsi="Times New Roman" w:cs="Times New Roman"/>
          <w:sz w:val="24"/>
          <w:szCs w:val="24"/>
        </w:rPr>
        <w:t>2010 estas duas últimas microrregiões se mantiveram com a inclusão de Chapadinha (MA) em detrimento da</w:t>
      </w:r>
      <w:r w:rsidR="003B5220">
        <w:rPr>
          <w:rFonts w:ascii="Times New Roman" w:hAnsi="Times New Roman" w:cs="Times New Roman"/>
          <w:sz w:val="24"/>
          <w:szCs w:val="24"/>
        </w:rPr>
        <w:t xml:space="preserve"> </w:t>
      </w:r>
      <w:r w:rsidRPr="001D56A2">
        <w:rPr>
          <w:rFonts w:ascii="Times New Roman" w:hAnsi="Times New Roman" w:cs="Times New Roman"/>
          <w:sz w:val="24"/>
          <w:szCs w:val="24"/>
        </w:rPr>
        <w:t xml:space="preserve">microrregião Chapadas do Alto Itapecuru (MA). </w:t>
      </w:r>
    </w:p>
    <w:p w:rsidR="00563D4A" w:rsidRDefault="001D56A2" w:rsidP="003B52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5220" w:rsidRPr="00186C99">
        <w:rPr>
          <w:rFonts w:ascii="Times New Roman" w:hAnsi="Times New Roman" w:cs="Times New Roman"/>
          <w:sz w:val="24"/>
          <w:szCs w:val="24"/>
        </w:rPr>
        <w:t>Em nenhum momento, a EMBRAPA faz consid</w:t>
      </w:r>
      <w:r w:rsidR="003B5220">
        <w:rPr>
          <w:rFonts w:ascii="Times New Roman" w:hAnsi="Times New Roman" w:cs="Times New Roman"/>
          <w:sz w:val="24"/>
          <w:szCs w:val="24"/>
        </w:rPr>
        <w:t>e</w:t>
      </w:r>
      <w:r w:rsidR="003B5220">
        <w:rPr>
          <w:rFonts w:ascii="Times New Roman" w:hAnsi="Times New Roman" w:cs="Times New Roman"/>
          <w:sz w:val="24"/>
          <w:szCs w:val="24"/>
        </w:rPr>
        <w:t>rações sobre dados de fluxos migratórios e como estes dados migratórios estão contribuindo na dinâmica populacional destas microrregiões. Desta forma, b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uscará com este trabalho elaborar as pirâmides etárias destas </w:t>
      </w:r>
      <w:proofErr w:type="gramStart"/>
      <w:r w:rsidR="00923F1A" w:rsidRPr="00186C99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923F1A" w:rsidRPr="00186C99">
        <w:rPr>
          <w:rFonts w:ascii="Times New Roman" w:hAnsi="Times New Roman" w:cs="Times New Roman"/>
          <w:sz w:val="24"/>
          <w:szCs w:val="24"/>
        </w:rPr>
        <w:t xml:space="preserve"> microrregiões, e para aquelas</w:t>
      </w:r>
      <w:r w:rsidR="00EF3347">
        <w:rPr>
          <w:rFonts w:ascii="Times New Roman" w:hAnsi="Times New Roman" w:cs="Times New Roman"/>
          <w:sz w:val="24"/>
          <w:szCs w:val="24"/>
        </w:rPr>
        <w:t xml:space="preserve"> microrregiões</w:t>
      </w:r>
      <w:bookmarkStart w:id="0" w:name="_GoBack"/>
      <w:bookmarkEnd w:id="0"/>
      <w:r w:rsidR="00923F1A" w:rsidRPr="00186C99">
        <w:rPr>
          <w:rFonts w:ascii="Times New Roman" w:hAnsi="Times New Roman" w:cs="Times New Roman"/>
          <w:sz w:val="24"/>
          <w:szCs w:val="24"/>
        </w:rPr>
        <w:t xml:space="preserve"> que o crescimento populacional estiver vinculado a migrações, serão cruzados os dados do quadro ambiental, agrícola</w:t>
      </w:r>
      <w:r w:rsidR="003B5220">
        <w:rPr>
          <w:rFonts w:ascii="Times New Roman" w:hAnsi="Times New Roman" w:cs="Times New Roman"/>
          <w:sz w:val="24"/>
          <w:szCs w:val="24"/>
        </w:rPr>
        <w:t xml:space="preserve">, 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agrário </w:t>
      </w:r>
      <w:r w:rsidR="003B5220">
        <w:rPr>
          <w:rFonts w:ascii="Times New Roman" w:hAnsi="Times New Roman" w:cs="Times New Roman"/>
          <w:sz w:val="24"/>
          <w:szCs w:val="24"/>
        </w:rPr>
        <w:t xml:space="preserve">e econômico 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realizados </w:t>
      </w:r>
      <w:r w:rsidR="00186C99" w:rsidRPr="00186C99">
        <w:rPr>
          <w:rFonts w:ascii="Times New Roman" w:hAnsi="Times New Roman" w:cs="Times New Roman"/>
          <w:sz w:val="24"/>
          <w:szCs w:val="24"/>
        </w:rPr>
        <w:t xml:space="preserve">pela </w:t>
      </w:r>
      <w:r w:rsidR="003B5220">
        <w:rPr>
          <w:rFonts w:ascii="Times New Roman" w:hAnsi="Times New Roman" w:cs="Times New Roman"/>
          <w:sz w:val="24"/>
          <w:szCs w:val="24"/>
        </w:rPr>
        <w:t xml:space="preserve">EMBRAPA, e buscará 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identificar quais os atrativos destas </w:t>
      </w:r>
      <w:r w:rsidR="00186C99" w:rsidRPr="00186C99">
        <w:rPr>
          <w:rFonts w:ascii="Times New Roman" w:hAnsi="Times New Roman" w:cs="Times New Roman"/>
          <w:sz w:val="24"/>
          <w:szCs w:val="24"/>
        </w:rPr>
        <w:t>microrregiões</w:t>
      </w:r>
      <w:r w:rsidR="00923F1A" w:rsidRPr="00186C99">
        <w:rPr>
          <w:rFonts w:ascii="Times New Roman" w:hAnsi="Times New Roman" w:cs="Times New Roman"/>
          <w:sz w:val="24"/>
          <w:szCs w:val="24"/>
        </w:rPr>
        <w:t xml:space="preserve"> que faz com que ocorra a migração para nestas áreas.</w:t>
      </w:r>
    </w:p>
    <w:sectPr w:rsidR="00563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11" w:rsidRDefault="00F90511" w:rsidP="00C17EA6">
      <w:pPr>
        <w:spacing w:after="0" w:line="240" w:lineRule="auto"/>
      </w:pPr>
      <w:r>
        <w:separator/>
      </w:r>
    </w:p>
  </w:endnote>
  <w:endnote w:type="continuationSeparator" w:id="0">
    <w:p w:rsidR="00F90511" w:rsidRDefault="00F90511" w:rsidP="00C1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11" w:rsidRDefault="00F90511" w:rsidP="00C17EA6">
      <w:pPr>
        <w:spacing w:after="0" w:line="240" w:lineRule="auto"/>
      </w:pPr>
      <w:r>
        <w:separator/>
      </w:r>
    </w:p>
  </w:footnote>
  <w:footnote w:type="continuationSeparator" w:id="0">
    <w:p w:rsidR="00F90511" w:rsidRDefault="00F90511" w:rsidP="00C17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A6"/>
    <w:rsid w:val="00080540"/>
    <w:rsid w:val="000A53F3"/>
    <w:rsid w:val="00154F4B"/>
    <w:rsid w:val="00186C99"/>
    <w:rsid w:val="001D56A2"/>
    <w:rsid w:val="003B5220"/>
    <w:rsid w:val="00563D4A"/>
    <w:rsid w:val="005F6228"/>
    <w:rsid w:val="006203A5"/>
    <w:rsid w:val="006531BA"/>
    <w:rsid w:val="006E0587"/>
    <w:rsid w:val="00923F1A"/>
    <w:rsid w:val="00C17EA6"/>
    <w:rsid w:val="00CB76D8"/>
    <w:rsid w:val="00E0724F"/>
    <w:rsid w:val="00E14E8F"/>
    <w:rsid w:val="00E449B2"/>
    <w:rsid w:val="00EF3347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EA6"/>
  </w:style>
  <w:style w:type="paragraph" w:styleId="Rodap">
    <w:name w:val="footer"/>
    <w:basedOn w:val="Normal"/>
    <w:link w:val="Rodap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EA6"/>
  </w:style>
  <w:style w:type="character" w:customStyle="1" w:styleId="apple-converted-space">
    <w:name w:val="apple-converted-space"/>
    <w:basedOn w:val="Fontepargpadro"/>
    <w:rsid w:val="00620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EA6"/>
  </w:style>
  <w:style w:type="paragraph" w:styleId="Rodap">
    <w:name w:val="footer"/>
    <w:basedOn w:val="Normal"/>
    <w:link w:val="Rodap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EA6"/>
  </w:style>
  <w:style w:type="character" w:customStyle="1" w:styleId="apple-converted-space">
    <w:name w:val="apple-converted-space"/>
    <w:basedOn w:val="Fontepargpadro"/>
    <w:rsid w:val="0062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2016-07-19T16:59:00Z</dcterms:created>
  <dcterms:modified xsi:type="dcterms:W3CDTF">2016-07-22T16:47:00Z</dcterms:modified>
</cp:coreProperties>
</file>