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9506" w14:textId="68AE25D4" w:rsidR="00B16BE3" w:rsidRDefault="002F04BD">
      <w:pPr>
        <w:spacing w:after="147"/>
        <w:ind w:left="-5"/>
      </w:pPr>
      <w:r>
        <w:rPr>
          <w:b/>
        </w:rPr>
        <w:t>Disciplina:</w:t>
      </w:r>
      <w:r>
        <w:t xml:space="preserve"> População, Espaço e Ambiente  </w:t>
      </w:r>
    </w:p>
    <w:p w14:paraId="670A0103" w14:textId="77777777" w:rsidR="00B16BE3" w:rsidRDefault="002F04BD">
      <w:pPr>
        <w:spacing w:after="147"/>
        <w:ind w:left="-5"/>
      </w:pPr>
      <w:r>
        <w:rPr>
          <w:b/>
        </w:rPr>
        <w:t>Docente:</w:t>
      </w:r>
      <w:r>
        <w:t xml:space="preserve"> Silvana Amaral </w:t>
      </w:r>
      <w:proofErr w:type="spellStart"/>
      <w:r>
        <w:t>Kampel</w:t>
      </w:r>
      <w:proofErr w:type="spellEnd"/>
      <w:r>
        <w:t xml:space="preserve"> e Antônio Miguel Vieira Monteiro  </w:t>
      </w:r>
    </w:p>
    <w:p w14:paraId="05D5B745" w14:textId="4D92B11A" w:rsidR="00B16BE3" w:rsidRDefault="002F04BD">
      <w:pPr>
        <w:spacing w:after="183"/>
        <w:ind w:left="-5"/>
      </w:pPr>
      <w:r>
        <w:rPr>
          <w:b/>
        </w:rPr>
        <w:t>Discente:</w:t>
      </w:r>
      <w:r>
        <w:t xml:space="preserve"> </w:t>
      </w:r>
      <w:r w:rsidR="006E36A5">
        <w:t>Vinícius Lima Guimarães</w:t>
      </w:r>
    </w:p>
    <w:p w14:paraId="44934F47" w14:textId="0BBEBB97" w:rsidR="00B16BE3" w:rsidRPr="0045311F" w:rsidRDefault="00F03208" w:rsidP="00325A01">
      <w:pPr>
        <w:spacing w:after="0" w:line="237" w:lineRule="auto"/>
        <w:ind w:left="345" w:firstLine="0"/>
        <w:jc w:val="center"/>
      </w:pPr>
      <w:r w:rsidRPr="00F03208">
        <w:rPr>
          <w:b/>
          <w:sz w:val="28"/>
        </w:rPr>
        <w:t xml:space="preserve">Análise da Leptospirose no Contexto das Enchentes de 2024: Estudo </w:t>
      </w:r>
      <w:r w:rsidR="00622811">
        <w:rPr>
          <w:b/>
          <w:sz w:val="28"/>
        </w:rPr>
        <w:t xml:space="preserve">dos municípios afetados no </w:t>
      </w:r>
      <w:r w:rsidRPr="00F03208">
        <w:rPr>
          <w:b/>
          <w:sz w:val="28"/>
        </w:rPr>
        <w:t>Rio Grande do Sul</w:t>
      </w:r>
    </w:p>
    <w:p w14:paraId="6255416A" w14:textId="77777777" w:rsidR="00B16BE3" w:rsidRDefault="002F04BD">
      <w:pPr>
        <w:pStyle w:val="Ttulo1"/>
        <w:ind w:left="345" w:hanging="360"/>
      </w:pPr>
      <w:proofErr w:type="spellStart"/>
      <w:r>
        <w:t>Motivação</w:t>
      </w:r>
      <w:proofErr w:type="spellEnd"/>
      <w:r>
        <w:t xml:space="preserve"> </w:t>
      </w:r>
    </w:p>
    <w:p w14:paraId="44C6EF92" w14:textId="177D2D1A" w:rsidR="00721D25" w:rsidRDefault="00612C5D" w:rsidP="00C278B8">
      <w:pPr>
        <w:ind w:left="-5"/>
      </w:pPr>
      <w:r>
        <w:t xml:space="preserve">A leptospirose </w:t>
      </w:r>
      <w:r w:rsidR="002A31B3">
        <w:t>é um</w:t>
      </w:r>
      <w:r w:rsidR="00C91FE1">
        <w:t xml:space="preserve">a </w:t>
      </w:r>
      <w:r w:rsidR="007B47A0">
        <w:t>doença</w:t>
      </w:r>
      <w:r w:rsidR="00E27523">
        <w:t xml:space="preserve"> </w:t>
      </w:r>
      <w:r w:rsidR="00175B1C">
        <w:t>bacteriana</w:t>
      </w:r>
      <w:r w:rsidR="00343CA6">
        <w:t xml:space="preserve"> </w:t>
      </w:r>
      <w:r w:rsidR="004659BF">
        <w:t>cuja</w:t>
      </w:r>
      <w:r w:rsidR="00343CA6">
        <w:t xml:space="preserve"> infecção pode ser</w:t>
      </w:r>
      <w:r w:rsidR="00A629F8">
        <w:t xml:space="preserve"> </w:t>
      </w:r>
      <w:r w:rsidR="004659BF">
        <w:t>causad</w:t>
      </w:r>
      <w:r w:rsidR="00CB4181">
        <w:t xml:space="preserve">a </w:t>
      </w:r>
      <w:r w:rsidR="00A629F8">
        <w:t xml:space="preserve">pela exposição </w:t>
      </w:r>
      <w:r w:rsidR="000C4844">
        <w:t>dos humanos</w:t>
      </w:r>
      <w:r w:rsidR="003C79D5">
        <w:t xml:space="preserve"> à </w:t>
      </w:r>
      <w:r w:rsidR="003A2027">
        <w:t xml:space="preserve">água </w:t>
      </w:r>
      <w:r w:rsidR="006A0C92">
        <w:t>contaminada pela urina de animais infectados (</w:t>
      </w:r>
      <w:r w:rsidR="00D866D3">
        <w:t>HAAKE, 2015</w:t>
      </w:r>
      <w:r w:rsidR="006A0C92">
        <w:t>)</w:t>
      </w:r>
      <w:r w:rsidR="006A0C92" w:rsidRPr="006A0C92">
        <w:t>.</w:t>
      </w:r>
      <w:r w:rsidR="00536456">
        <w:t xml:space="preserve"> </w:t>
      </w:r>
      <w:r w:rsidR="00D45068">
        <w:t xml:space="preserve">A apresentação </w:t>
      </w:r>
      <w:r w:rsidR="006266A6">
        <w:t xml:space="preserve">dos primeiros sintomas em </w:t>
      </w:r>
      <w:r w:rsidR="00581721">
        <w:t xml:space="preserve">seres humanos ocorre após 7 a </w:t>
      </w:r>
      <w:r w:rsidR="00934203">
        <w:t>12 dias</w:t>
      </w:r>
      <w:r w:rsidR="00BD4B5D">
        <w:t xml:space="preserve"> de incubação, </w:t>
      </w:r>
      <w:r w:rsidR="00C278B8">
        <w:t xml:space="preserve">durando de três dias a um mês. </w:t>
      </w:r>
      <w:r w:rsidR="00536456">
        <w:t xml:space="preserve">Em </w:t>
      </w:r>
      <w:r w:rsidR="00E10EBD">
        <w:t xml:space="preserve">desastres naturais como </w:t>
      </w:r>
      <w:r w:rsidR="00536456">
        <w:t xml:space="preserve">enchentes, </w:t>
      </w:r>
      <w:r w:rsidR="00CD1AC8">
        <w:t>o espalhamento d</w:t>
      </w:r>
      <w:r w:rsidR="00917D22">
        <w:t>a sua bactéria</w:t>
      </w:r>
      <w:r w:rsidR="00140AAC">
        <w:t xml:space="preserve"> causad</w:t>
      </w:r>
      <w:r w:rsidR="00007AC2">
        <w:t>ora</w:t>
      </w:r>
      <w:r w:rsidR="00917D22">
        <w:t xml:space="preserve"> </w:t>
      </w:r>
      <w:r w:rsidR="00917D22">
        <w:rPr>
          <w:i/>
          <w:iCs/>
        </w:rPr>
        <w:t>Leptospira</w:t>
      </w:r>
      <w:r w:rsidR="00917D22">
        <w:t xml:space="preserve"> </w:t>
      </w:r>
      <w:r w:rsidR="00681D15">
        <w:t>é facilitado</w:t>
      </w:r>
      <w:r w:rsidR="00BF53CD">
        <w:t xml:space="preserve"> pela elevação e movimentação d</w:t>
      </w:r>
      <w:r w:rsidR="00DF02E9">
        <w:t>a água</w:t>
      </w:r>
      <w:r w:rsidR="00E6287B">
        <w:t xml:space="preserve">, tornando tais eventos </w:t>
      </w:r>
      <w:r w:rsidR="00815670">
        <w:t>responsáveis pelo aumentos de casos</w:t>
      </w:r>
      <w:r w:rsidR="00CB4181">
        <w:t xml:space="preserve"> em populações </w:t>
      </w:r>
      <w:r w:rsidR="00CA0297">
        <w:t>vulnerabilizadas</w:t>
      </w:r>
      <w:r w:rsidR="00470D31">
        <w:t xml:space="preserve"> pelo processo hidrológico</w:t>
      </w:r>
      <w:r w:rsidR="00CA0297">
        <w:t xml:space="preserve"> </w:t>
      </w:r>
      <w:r w:rsidR="00FC321E">
        <w:t>(</w:t>
      </w:r>
      <w:r w:rsidR="00851838">
        <w:t>LAU et al., 2010</w:t>
      </w:r>
      <w:r w:rsidR="002B57EB">
        <w:t>; CHADSUTI et al., 2018</w:t>
      </w:r>
      <w:r w:rsidR="00851838">
        <w:t>)</w:t>
      </w:r>
      <w:r w:rsidR="00FC321E">
        <w:t xml:space="preserve">. </w:t>
      </w:r>
    </w:p>
    <w:p w14:paraId="4E9E2E4B" w14:textId="53B55CDD" w:rsidR="00A03EB8" w:rsidRDefault="00F75E22" w:rsidP="00F31606">
      <w:pPr>
        <w:ind w:left="-5"/>
      </w:pPr>
      <w:r>
        <w:t xml:space="preserve">Em maio de 2024, </w:t>
      </w:r>
      <w:r w:rsidR="007D3FA7">
        <w:t xml:space="preserve">nos municípios do Rio Grande do Sul, </w:t>
      </w:r>
      <w:r w:rsidR="007111E7">
        <w:t xml:space="preserve">ocorreram </w:t>
      </w:r>
      <w:r w:rsidR="00F464AF">
        <w:t>251 casos de leptospirose</w:t>
      </w:r>
      <w:r w:rsidR="00DC3037">
        <w:t xml:space="preserve">, </w:t>
      </w:r>
      <w:r w:rsidR="00DC4EEC">
        <w:t xml:space="preserve">um aumento de </w:t>
      </w:r>
      <w:r w:rsidR="00DC3037">
        <w:t xml:space="preserve">228 </w:t>
      </w:r>
      <w:r w:rsidR="00DC4EEC">
        <w:t xml:space="preserve">em comparação </w:t>
      </w:r>
      <w:r w:rsidR="00DC3037">
        <w:t>ao mesmo mês em 2023 (</w:t>
      </w:r>
      <w:r w:rsidR="00FD5312">
        <w:t xml:space="preserve">CEVS, </w:t>
      </w:r>
      <w:r w:rsidR="009E2157">
        <w:t xml:space="preserve">2024). </w:t>
      </w:r>
      <w:r w:rsidR="00C04C49">
        <w:t xml:space="preserve">Este aumento está potencialmente associado às </w:t>
      </w:r>
      <w:r w:rsidR="00D239CF">
        <w:t>enchentes</w:t>
      </w:r>
      <w:r w:rsidR="00040D6C">
        <w:t xml:space="preserve"> </w:t>
      </w:r>
      <w:r w:rsidR="00353C3A">
        <w:t xml:space="preserve">ocasionadas </w:t>
      </w:r>
      <w:r w:rsidR="00FE7E93">
        <w:t>pelas chuv</w:t>
      </w:r>
      <w:r w:rsidR="00040D6C">
        <w:t xml:space="preserve">as intensas </w:t>
      </w:r>
      <w:r w:rsidR="00AD1D2F">
        <w:t>d</w:t>
      </w:r>
      <w:r w:rsidR="00D515C4">
        <w:t xml:space="preserve">o dia </w:t>
      </w:r>
      <w:r w:rsidR="00CC3449">
        <w:t>29 de abril de 2024</w:t>
      </w:r>
      <w:r w:rsidR="00AD1D2F">
        <w:t xml:space="preserve"> em diante</w:t>
      </w:r>
      <w:r w:rsidR="00CC3449">
        <w:t xml:space="preserve">, </w:t>
      </w:r>
      <w:r w:rsidR="00D515C4">
        <w:t xml:space="preserve">responsáveis </w:t>
      </w:r>
      <w:r w:rsidR="00056C17">
        <w:t xml:space="preserve">pela elevação </w:t>
      </w:r>
      <w:r w:rsidR="00887297">
        <w:t xml:space="preserve">do nível d’água do Lago Guaíba, </w:t>
      </w:r>
      <w:r w:rsidR="003430C4">
        <w:t xml:space="preserve">da Lagoa dos Patos e de seus </w:t>
      </w:r>
      <w:r w:rsidR="00D55418">
        <w:t xml:space="preserve">rios </w:t>
      </w:r>
      <w:r w:rsidR="003430C4">
        <w:t>tributários</w:t>
      </w:r>
      <w:r w:rsidR="00B60F72">
        <w:t>, afetando</w:t>
      </w:r>
      <w:r w:rsidR="00AD1D2F">
        <w:t xml:space="preserve"> 76 municípios</w:t>
      </w:r>
      <w:r w:rsidR="003430C4">
        <w:t xml:space="preserve"> </w:t>
      </w:r>
      <w:r w:rsidR="00D55418">
        <w:t>(</w:t>
      </w:r>
      <w:r w:rsidR="00DD7DBB">
        <w:t>ICSMD</w:t>
      </w:r>
      <w:r w:rsidR="00714B8D">
        <w:t>, 2024</w:t>
      </w:r>
      <w:r w:rsidR="003430C4">
        <w:t>).</w:t>
      </w:r>
    </w:p>
    <w:p w14:paraId="6D2FD56F" w14:textId="34791095" w:rsidR="00AF584B" w:rsidRDefault="000A3574" w:rsidP="00F31606">
      <w:pPr>
        <w:ind w:left="-5"/>
      </w:pPr>
      <w:r>
        <w:t xml:space="preserve">A utilização de sensoriamento permite revelar relações entre o aumento da doença e as áreas afetadas por enchentes, além de outros fatores ambientais associados ao </w:t>
      </w:r>
      <w:r w:rsidR="00FB5F31">
        <w:t>aumento</w:t>
      </w:r>
      <w:r>
        <w:t xml:space="preserve"> dos casos de leptospirose </w:t>
      </w:r>
      <w:r w:rsidR="00570790">
        <w:t xml:space="preserve">por este evento hidrológico </w:t>
      </w:r>
      <w:r>
        <w:t>(</w:t>
      </w:r>
      <w:r w:rsidR="0046561B">
        <w:t>LEDIEN et al., 2017; CHADSUTI et al., 2018</w:t>
      </w:r>
      <w:r w:rsidR="002850B9">
        <w:t>)</w:t>
      </w:r>
      <w:r>
        <w:t>.</w:t>
      </w:r>
      <w:r w:rsidR="00B60F72">
        <w:t xml:space="preserve"> </w:t>
      </w:r>
      <w:r w:rsidR="00990A42">
        <w:t>Isto é possível ao passo em que</w:t>
      </w:r>
      <w:r w:rsidR="003A2E51">
        <w:t xml:space="preserve"> </w:t>
      </w:r>
      <w:r w:rsidR="007015B6">
        <w:t xml:space="preserve">esta ciência permite identificar as áreas </w:t>
      </w:r>
      <w:r w:rsidR="00E37E34">
        <w:t>inundadas</w:t>
      </w:r>
      <w:r w:rsidR="00093315">
        <w:t xml:space="preserve"> e </w:t>
      </w:r>
      <w:r w:rsidR="00F757B9">
        <w:t>outr</w:t>
      </w:r>
      <w:r w:rsidR="00093315">
        <w:t>as características</w:t>
      </w:r>
      <w:r w:rsidR="00F757B9">
        <w:t xml:space="preserve"> ambientais associadas à leptospirose</w:t>
      </w:r>
      <w:r w:rsidR="006946AC">
        <w:t>,</w:t>
      </w:r>
      <w:r w:rsidR="004B0163">
        <w:t xml:space="preserve"> </w:t>
      </w:r>
      <w:r w:rsidR="00CF3958">
        <w:t>dentre elas</w:t>
      </w:r>
      <w:r w:rsidR="004B0163">
        <w:t xml:space="preserve"> a elevação, </w:t>
      </w:r>
      <w:r w:rsidR="003D2705">
        <w:t>a</w:t>
      </w:r>
      <w:r w:rsidR="00CF3958">
        <w:t xml:space="preserve"> declividade, a</w:t>
      </w:r>
      <w:r w:rsidR="003D2705">
        <w:t xml:space="preserve"> precipitação</w:t>
      </w:r>
      <w:r w:rsidR="005823E4">
        <w:t xml:space="preserve"> e </w:t>
      </w:r>
      <w:r w:rsidR="00AF584B">
        <w:t>o uso e ocupação do solo das áreas inundadas (</w:t>
      </w:r>
      <w:r w:rsidR="0046561B">
        <w:t xml:space="preserve">LEDIEN et al., 2017; </w:t>
      </w:r>
      <w:r w:rsidR="00AF584B">
        <w:t>CHADSUTI et al., 2018)</w:t>
      </w:r>
      <w:r w:rsidR="00220DE4">
        <w:t xml:space="preserve">. Ao </w:t>
      </w:r>
      <w:r w:rsidR="00CB37F5">
        <w:t xml:space="preserve">analisar estatisticamente as associações </w:t>
      </w:r>
      <w:r w:rsidR="00CC4B31">
        <w:t xml:space="preserve">entre as </w:t>
      </w:r>
      <w:r w:rsidR="001C29B0">
        <w:t>informações obtidas por sensoriamento remoto com dados epid</w:t>
      </w:r>
      <w:r w:rsidR="00B332D6">
        <w:t xml:space="preserve">emiológicos de leptospirose </w:t>
      </w:r>
      <w:r w:rsidR="004279CC">
        <w:t xml:space="preserve">e </w:t>
      </w:r>
      <w:r w:rsidR="00CB37F5">
        <w:t>características populacionais das populações afetadas por enchentes</w:t>
      </w:r>
      <w:r w:rsidR="00F10FB4">
        <w:t xml:space="preserve">, é possível </w:t>
      </w:r>
      <w:r w:rsidR="00521DA1">
        <w:t xml:space="preserve">identificar </w:t>
      </w:r>
      <w:r w:rsidR="007B2521">
        <w:t>a dinâmica entre enchentes e leptospirose</w:t>
      </w:r>
      <w:r w:rsidR="00CB37F5">
        <w:t xml:space="preserve"> </w:t>
      </w:r>
      <w:r w:rsidR="00923370">
        <w:t>(LEDIEN et al., 2017; CHADSUTI et al., 2018)</w:t>
      </w:r>
      <w:r w:rsidR="0022542E">
        <w:t>.</w:t>
      </w:r>
      <w:r w:rsidR="00E10EBD">
        <w:t xml:space="preserve"> </w:t>
      </w:r>
      <w:r w:rsidR="005467C7" w:rsidRPr="005467C7">
        <w:rPr>
          <w:rFonts w:ascii="TimesNewRomanPSMT" w:hAnsi="TimesNewRomanPSMT"/>
          <w:szCs w:val="24"/>
        </w:rPr>
        <w:t xml:space="preserve">Portanto, ao entender que </w:t>
      </w:r>
      <w:r w:rsidR="005467C7">
        <w:rPr>
          <w:rFonts w:ascii="TimesNewRomanPSMT" w:hAnsi="TimesNewRomanPSMT"/>
          <w:szCs w:val="24"/>
        </w:rPr>
        <w:t xml:space="preserve">enchentes </w:t>
      </w:r>
      <w:r w:rsidR="00546453">
        <w:rPr>
          <w:rFonts w:ascii="TimesNewRomanPSMT" w:hAnsi="TimesNewRomanPSMT"/>
          <w:szCs w:val="24"/>
        </w:rPr>
        <w:t xml:space="preserve">estão associadas a casos de leptospirose e que </w:t>
      </w:r>
      <w:r w:rsidR="00CB2484">
        <w:rPr>
          <w:rFonts w:ascii="TimesNewRomanPSMT" w:hAnsi="TimesNewRomanPSMT"/>
          <w:szCs w:val="24"/>
        </w:rPr>
        <w:t xml:space="preserve">as características </w:t>
      </w:r>
      <w:r w:rsidR="001369D9">
        <w:rPr>
          <w:rFonts w:ascii="TimesNewRomanPSMT" w:hAnsi="TimesNewRomanPSMT"/>
          <w:szCs w:val="24"/>
        </w:rPr>
        <w:t xml:space="preserve">ambientais </w:t>
      </w:r>
      <w:r w:rsidR="00F654B9">
        <w:rPr>
          <w:rFonts w:ascii="TimesNewRomanPSMT" w:hAnsi="TimesNewRomanPSMT"/>
          <w:szCs w:val="24"/>
        </w:rPr>
        <w:t xml:space="preserve">e populacionais </w:t>
      </w:r>
      <w:r w:rsidR="00CB2484">
        <w:rPr>
          <w:rFonts w:ascii="TimesNewRomanPSMT" w:hAnsi="TimesNewRomanPSMT"/>
          <w:szCs w:val="24"/>
        </w:rPr>
        <w:t>atreladas a tal dinâmica</w:t>
      </w:r>
      <w:r w:rsidR="00BE487E">
        <w:rPr>
          <w:rFonts w:ascii="TimesNewRomanPSMT" w:hAnsi="TimesNewRomanPSMT"/>
          <w:szCs w:val="24"/>
        </w:rPr>
        <w:t xml:space="preserve"> </w:t>
      </w:r>
      <w:r w:rsidR="00CB2484">
        <w:rPr>
          <w:rFonts w:ascii="TimesNewRomanPSMT" w:hAnsi="TimesNewRomanPSMT"/>
          <w:szCs w:val="24"/>
        </w:rPr>
        <w:t xml:space="preserve">são passíveis de obtenção por </w:t>
      </w:r>
      <w:r w:rsidR="005467C7" w:rsidRPr="005467C7">
        <w:rPr>
          <w:rFonts w:ascii="TimesNewRomanPSMT" w:hAnsi="TimesNewRomanPSMT"/>
          <w:szCs w:val="24"/>
        </w:rPr>
        <w:t>sensoriamento remoto</w:t>
      </w:r>
      <w:r w:rsidR="00F654B9">
        <w:rPr>
          <w:rFonts w:ascii="TimesNewRomanPSMT" w:hAnsi="TimesNewRomanPSMT"/>
          <w:szCs w:val="24"/>
        </w:rPr>
        <w:t xml:space="preserve"> </w:t>
      </w:r>
      <w:r w:rsidR="002666AE">
        <w:rPr>
          <w:rFonts w:ascii="TimesNewRomanPSMT" w:hAnsi="TimesNewRomanPSMT"/>
          <w:szCs w:val="24"/>
        </w:rPr>
        <w:t xml:space="preserve">em conjunto com informações </w:t>
      </w:r>
      <w:r w:rsidR="00F31606">
        <w:rPr>
          <w:rFonts w:ascii="TimesNewRomanPSMT" w:hAnsi="TimesNewRomanPSMT"/>
          <w:szCs w:val="24"/>
        </w:rPr>
        <w:t>demográficas</w:t>
      </w:r>
      <w:r w:rsidR="005467C7" w:rsidRPr="005467C7">
        <w:rPr>
          <w:rFonts w:ascii="TimesNewRomanPSMT" w:hAnsi="TimesNewRomanPSMT"/>
          <w:szCs w:val="24"/>
        </w:rPr>
        <w:t>,</w:t>
      </w:r>
      <w:r w:rsidR="000D6AA2">
        <w:rPr>
          <w:rFonts w:ascii="TimesNewRomanPSMT" w:hAnsi="TimesNewRomanPSMT"/>
          <w:szCs w:val="24"/>
        </w:rPr>
        <w:t xml:space="preserve"> </w:t>
      </w:r>
      <w:r w:rsidR="005467C7" w:rsidRPr="005467C7">
        <w:rPr>
          <w:rFonts w:ascii="TimesNewRomanPSMT" w:hAnsi="TimesNewRomanPSMT"/>
          <w:szCs w:val="24"/>
        </w:rPr>
        <w:t>este trabalho busca</w:t>
      </w:r>
      <w:r w:rsidR="000D6AA2">
        <w:rPr>
          <w:rFonts w:ascii="TimesNewRomanPSMT" w:hAnsi="TimesNewRomanPSMT"/>
        </w:rPr>
        <w:t xml:space="preserve"> </w:t>
      </w:r>
      <w:r w:rsidR="00E62554">
        <w:t xml:space="preserve">analisar </w:t>
      </w:r>
      <w:r w:rsidR="00734496">
        <w:t>o aumentos de notificações de casos da doença</w:t>
      </w:r>
      <w:r w:rsidR="00B63F70">
        <w:t xml:space="preserve"> </w:t>
      </w:r>
      <w:r w:rsidR="004274A6">
        <w:t xml:space="preserve">no </w:t>
      </w:r>
      <w:r w:rsidR="00A46C7E">
        <w:t>Rio Grande do Sul</w:t>
      </w:r>
      <w:r w:rsidR="00656DF8">
        <w:t>, no contexto</w:t>
      </w:r>
      <w:r w:rsidR="005E7269">
        <w:t xml:space="preserve"> do desastre natural</w:t>
      </w:r>
      <w:r w:rsidR="00E4612D">
        <w:t>, dando foco para os municípios adjacentes ao Lago Guaíba</w:t>
      </w:r>
      <w:r w:rsidR="00A46C7E">
        <w:t>.</w:t>
      </w:r>
    </w:p>
    <w:p w14:paraId="182942BD" w14:textId="77777777" w:rsidR="00E74DC8" w:rsidRDefault="00E74DC8" w:rsidP="00E74DC8">
      <w:pPr>
        <w:pStyle w:val="Ttulo1"/>
      </w:pPr>
      <w:r>
        <w:t>Análise exploratória</w:t>
      </w:r>
    </w:p>
    <w:p w14:paraId="01F20FCD" w14:textId="77777777" w:rsidR="00E74DC8" w:rsidRDefault="00E74DC8" w:rsidP="00E74DC8">
      <w:r>
        <w:t>Com exceção de Porto Alegre, não há uma constância nos casos de leptospirose por município. Assim, a distribuição espacial dos casos, entre janeiro de 2023 e junho de 2024, não apresenta um padrão mensal, mas uma variação que se deve a outros fatores (provavelmente por precipitação, saneamento, etc.).</w:t>
      </w:r>
    </w:p>
    <w:p w14:paraId="3E54D55C" w14:textId="77777777" w:rsidR="00E74DC8" w:rsidRPr="00992135" w:rsidRDefault="00E74DC8" w:rsidP="00E74DC8">
      <w:pPr>
        <w:jc w:val="center"/>
      </w:pPr>
      <w:r>
        <w:rPr>
          <w:noProof/>
        </w:rPr>
        <w:lastRenderedPageBreak/>
        <mc:AlternateContent>
          <mc:Choice Requires="wps">
            <w:drawing>
              <wp:anchor distT="0" distB="0" distL="114300" distR="114300" simplePos="0" relativeHeight="251661312" behindDoc="0" locked="0" layoutInCell="1" allowOverlap="1" wp14:anchorId="7D869BDD" wp14:editId="301678A7">
                <wp:simplePos x="0" y="0"/>
                <wp:positionH relativeFrom="column">
                  <wp:posOffset>4293487</wp:posOffset>
                </wp:positionH>
                <wp:positionV relativeFrom="paragraph">
                  <wp:posOffset>2702356</wp:posOffset>
                </wp:positionV>
                <wp:extent cx="638354" cy="284672"/>
                <wp:effectExtent l="0" t="0" r="28575" b="20320"/>
                <wp:wrapNone/>
                <wp:docPr id="7" name="Caixa de Texto 7"/>
                <wp:cNvGraphicFramePr/>
                <a:graphic xmlns:a="http://schemas.openxmlformats.org/drawingml/2006/main">
                  <a:graphicData uri="http://schemas.microsoft.com/office/word/2010/wordprocessingShape">
                    <wps:wsp>
                      <wps:cNvSpPr txBox="1"/>
                      <wps:spPr>
                        <a:xfrm>
                          <a:off x="0" y="0"/>
                          <a:ext cx="638354" cy="284672"/>
                        </a:xfrm>
                        <a:prstGeom prst="rect">
                          <a:avLst/>
                        </a:prstGeom>
                        <a:solidFill>
                          <a:schemeClr val="lt1"/>
                        </a:solidFill>
                        <a:ln w="6350">
                          <a:solidFill>
                            <a:prstClr val="black"/>
                          </a:solidFill>
                        </a:ln>
                      </wps:spPr>
                      <wps:txbx>
                        <w:txbxContent>
                          <w:p w14:paraId="611C5D04" w14:textId="77777777" w:rsidR="00E74DC8" w:rsidRDefault="00E74DC8" w:rsidP="00E74DC8">
                            <w:pPr>
                              <w:ind w:left="0"/>
                            </w:pPr>
                            <w:r>
                              <w:t>POA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869BDD" id="_x0000_t202" coordsize="21600,21600" o:spt="202" path="m,l,21600r21600,l21600,xe">
                <v:stroke joinstyle="miter"/>
                <v:path gradientshapeok="t" o:connecttype="rect"/>
              </v:shapetype>
              <v:shape id="Caixa de Texto 7" o:spid="_x0000_s1026" type="#_x0000_t202" style="position:absolute;left:0;text-align:left;margin-left:338.05pt;margin-top:212.8pt;width:50.25pt;height:22.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" fillcolor="white [3201]" strokeweight=".5pt">
                <v:textbox>
                  <w:txbxContent>
                    <w:p w14:paraId="611C5D04" w14:textId="77777777" w:rsidR="00E74DC8" w:rsidRDefault="00E74DC8" w:rsidP="00E74DC8">
                      <w:pPr>
                        <w:ind w:left="0"/>
                      </w:pPr>
                      <w:r>
                        <w:t>POA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91F72CF" wp14:editId="76846EB9">
                <wp:simplePos x="0" y="0"/>
                <wp:positionH relativeFrom="column">
                  <wp:posOffset>3888045</wp:posOffset>
                </wp:positionH>
                <wp:positionV relativeFrom="paragraph">
                  <wp:posOffset>2167519</wp:posOffset>
                </wp:positionV>
                <wp:extent cx="301925" cy="646981"/>
                <wp:effectExtent l="0" t="0" r="41275" b="96520"/>
                <wp:wrapNone/>
                <wp:docPr id="6" name="Conector: Angulado 6"/>
                <wp:cNvGraphicFramePr/>
                <a:graphic xmlns:a="http://schemas.openxmlformats.org/drawingml/2006/main">
                  <a:graphicData uri="http://schemas.microsoft.com/office/word/2010/wordprocessingShape">
                    <wps:wsp>
                      <wps:cNvCnPr/>
                      <wps:spPr>
                        <a:xfrm>
                          <a:off x="0" y="0"/>
                          <a:ext cx="301925" cy="646981"/>
                        </a:xfrm>
                        <a:prstGeom prst="bentConnector3">
                          <a:avLst>
                            <a:gd name="adj1" fmla="val 3774"/>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9D746B"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6" o:spid="_x0000_s1026" type="#_x0000_t34" style="position:absolute;margin-left:306.15pt;margin-top:170.65pt;width:23.75pt;height:5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" adj="815" strokecolor="red" strokeweight=".5pt">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5198B541" wp14:editId="6A6E56CD">
                <wp:simplePos x="0" y="0"/>
                <wp:positionH relativeFrom="column">
                  <wp:posOffset>3698264</wp:posOffset>
                </wp:positionH>
                <wp:positionV relativeFrom="paragraph">
                  <wp:posOffset>1839715</wp:posOffset>
                </wp:positionV>
                <wp:extent cx="362309" cy="327804"/>
                <wp:effectExtent l="0" t="0" r="19050" b="15240"/>
                <wp:wrapNone/>
                <wp:docPr id="5" name="Retângulo 5"/>
                <wp:cNvGraphicFramePr/>
                <a:graphic xmlns:a="http://schemas.openxmlformats.org/drawingml/2006/main">
                  <a:graphicData uri="http://schemas.microsoft.com/office/word/2010/wordprocessingShape">
                    <wps:wsp>
                      <wps:cNvSpPr/>
                      <wps:spPr>
                        <a:xfrm>
                          <a:off x="0" y="0"/>
                          <a:ext cx="362309" cy="32780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516F8" id="Retângulo 5" o:spid="_x0000_s1026" style="position:absolute;margin-left:291.2pt;margin-top:144.85pt;width:28.55pt;height:2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" filled="f" strokecolor="red" strokeweight="1pt"/>
            </w:pict>
          </mc:Fallback>
        </mc:AlternateContent>
      </w:r>
      <w:r>
        <w:rPr>
          <w:noProof/>
        </w:rPr>
        <w:drawing>
          <wp:inline distT="0" distB="0" distL="0" distR="0" wp14:anchorId="2604EEA9" wp14:editId="26448A5C">
            <wp:extent cx="4183811" cy="4183811"/>
            <wp:effectExtent l="0" t="0" r="7620" b="762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8466" cy="4188466"/>
                    </a:xfrm>
                    <a:prstGeom prst="rect">
                      <a:avLst/>
                    </a:prstGeom>
                    <a:noFill/>
                    <a:ln>
                      <a:noFill/>
                    </a:ln>
                  </pic:spPr>
                </pic:pic>
              </a:graphicData>
            </a:graphic>
          </wp:inline>
        </w:drawing>
      </w:r>
    </w:p>
    <w:p w14:paraId="5789F281" w14:textId="77777777" w:rsidR="00E74DC8" w:rsidRDefault="00E74DC8" w:rsidP="00E74DC8">
      <w:pPr>
        <w:ind w:left="0" w:firstLine="0"/>
      </w:pPr>
      <w:r>
        <w:t>Uma outra coisa a ser observada é que, em toda série histórica, há um comportamento oscilatório de municípios com casos confirmados por mês. Aqui, entendo que seria possível associar com o comportamento oscilatório das chuvas no estado. Uma outra coisa possível de observar são os meses em que houve um aumento significativo de casos de leptospirose, semelhante ao que aconteceu em maio de 2024, após as enchentes.</w:t>
      </w:r>
    </w:p>
    <w:p w14:paraId="622925AA" w14:textId="77777777" w:rsidR="00E74DC8" w:rsidRDefault="00E74DC8" w:rsidP="00E74DC8">
      <w:pPr>
        <w:ind w:left="0" w:firstLine="0"/>
      </w:pPr>
      <w:r>
        <w:rPr>
          <w:noProof/>
        </w:rPr>
        <w:lastRenderedPageBreak/>
        <w:drawing>
          <wp:inline distT="0" distB="0" distL="0" distR="0" wp14:anchorId="2E7CB168" wp14:editId="00AEAF4A">
            <wp:extent cx="5401945" cy="3221990"/>
            <wp:effectExtent l="0" t="0" r="825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945" cy="3221990"/>
                    </a:xfrm>
                    <a:prstGeom prst="rect">
                      <a:avLst/>
                    </a:prstGeom>
                    <a:noFill/>
                    <a:ln>
                      <a:noFill/>
                    </a:ln>
                  </pic:spPr>
                </pic:pic>
              </a:graphicData>
            </a:graphic>
          </wp:inline>
        </w:drawing>
      </w:r>
    </w:p>
    <w:p w14:paraId="5F96CCB0" w14:textId="77777777" w:rsidR="00E74DC8" w:rsidRDefault="00E74DC8" w:rsidP="00E74DC8">
      <w:pPr>
        <w:ind w:left="0" w:firstLine="0"/>
      </w:pPr>
      <w:r>
        <w:t>Há de se entender, no entanto, que esta enchente teve um alto impacto no aumento de casos de leptospirose. Na série histórica, isto só foi observado de maneira semelhante no ano de 2000, quando outra grande enchente também aconteceu no estado:</w:t>
      </w:r>
    </w:p>
    <w:p w14:paraId="3737654A" w14:textId="77777777" w:rsidR="00E74DC8" w:rsidRDefault="00E74DC8" w:rsidP="00E74DC8">
      <w:pPr>
        <w:ind w:left="0" w:firstLine="0"/>
      </w:pPr>
    </w:p>
    <w:p w14:paraId="63358A31" w14:textId="77777777" w:rsidR="00E74DC8" w:rsidRDefault="00E74DC8" w:rsidP="00E74DC8">
      <w:pPr>
        <w:ind w:left="0" w:firstLine="0"/>
      </w:pPr>
      <w:r>
        <w:rPr>
          <w:noProof/>
        </w:rPr>
        <w:drawing>
          <wp:inline distT="0" distB="0" distL="0" distR="0" wp14:anchorId="48874874" wp14:editId="08F3682E">
            <wp:extent cx="5401945" cy="3221990"/>
            <wp:effectExtent l="0" t="0" r="825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945" cy="3221990"/>
                    </a:xfrm>
                    <a:prstGeom prst="rect">
                      <a:avLst/>
                    </a:prstGeom>
                    <a:noFill/>
                    <a:ln>
                      <a:noFill/>
                    </a:ln>
                  </pic:spPr>
                </pic:pic>
              </a:graphicData>
            </a:graphic>
          </wp:inline>
        </w:drawing>
      </w:r>
    </w:p>
    <w:p w14:paraId="1803707D" w14:textId="77777777" w:rsidR="00E74DC8" w:rsidRDefault="00E74DC8" w:rsidP="00E74DC8">
      <w:pPr>
        <w:ind w:left="0" w:firstLine="0"/>
      </w:pPr>
      <w:r>
        <w:t>Por fim, é interessante ver como que em alguns municípios o aumento nos casos de leptospirose foi maior. Aqui, uma figura para representar os 10 municípios com os maiores números de casos em maio de 2024:</w:t>
      </w:r>
    </w:p>
    <w:p w14:paraId="56FF3A75" w14:textId="77777777" w:rsidR="00E74DC8" w:rsidRDefault="00E74DC8" w:rsidP="00E74DC8">
      <w:pPr>
        <w:ind w:left="0" w:firstLine="0"/>
        <w:jc w:val="center"/>
      </w:pPr>
      <w:r w:rsidRPr="0099533F">
        <w:lastRenderedPageBreak/>
        <w:drawing>
          <wp:inline distT="0" distB="0" distL="0" distR="0" wp14:anchorId="7CF06A13" wp14:editId="2E22520A">
            <wp:extent cx="4077269" cy="3467584"/>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77269" cy="3467584"/>
                    </a:xfrm>
                    <a:prstGeom prst="rect">
                      <a:avLst/>
                    </a:prstGeom>
                  </pic:spPr>
                </pic:pic>
              </a:graphicData>
            </a:graphic>
          </wp:inline>
        </w:drawing>
      </w:r>
    </w:p>
    <w:p w14:paraId="1B95E91A" w14:textId="7AD527E2" w:rsidR="00E74DC8" w:rsidRPr="00B93127" w:rsidRDefault="00E74DC8" w:rsidP="00B93127">
      <w:pPr>
        <w:ind w:left="0" w:firstLine="0"/>
      </w:pPr>
      <w:r>
        <w:t>No município de Três Coroas, por exemplo, a quantidade de casos de leptospirose até abril de 2024 era de 32 ao todo, sendo que só em maio de 2024 foram notificados 33 casos, um aumento de 105,3%. 1100 domicílios estavam sujeitos a inundação. Não há, no entanto, nenhuma informação no SNIS sobre o sistema de esgotamento, sendo que a população tem atendimento pleno à coleta de lixo (</w:t>
      </w:r>
      <w:hyperlink r:id="rId11" w:history="1">
        <w:r w:rsidRPr="00E74DC8">
          <w:rPr>
            <w:rStyle w:val="Hyperlink"/>
          </w:rPr>
          <w:t>IAS, 2021</w:t>
        </w:r>
      </w:hyperlink>
      <w:r>
        <w:t xml:space="preserve">).  </w:t>
      </w:r>
    </w:p>
    <w:p w14:paraId="1071837C" w14:textId="77777777" w:rsidR="00B16BE3" w:rsidRDefault="002F04BD" w:rsidP="001D56F1">
      <w:pPr>
        <w:pStyle w:val="Ttulo1"/>
        <w:ind w:left="345" w:hanging="360"/>
        <w:jc w:val="both"/>
      </w:pPr>
      <w:r>
        <w:t xml:space="preserve">Objetivo </w:t>
      </w:r>
    </w:p>
    <w:p w14:paraId="46AE1FAB" w14:textId="5682B268" w:rsidR="00B16BE3" w:rsidRDefault="006D4996" w:rsidP="001D56F1">
      <w:pPr>
        <w:ind w:left="-5"/>
      </w:pPr>
      <w:r>
        <w:t xml:space="preserve">Avaliar a relação entre </w:t>
      </w:r>
      <w:r w:rsidR="0017757B">
        <w:t xml:space="preserve">variáveis </w:t>
      </w:r>
      <w:r w:rsidR="00F07CAA">
        <w:t>a</w:t>
      </w:r>
      <w:r w:rsidR="00F654B9">
        <w:t>mbientais</w:t>
      </w:r>
      <w:r w:rsidR="00AE5BDB">
        <w:t xml:space="preserve"> (área inundada </w:t>
      </w:r>
      <w:r w:rsidR="00557062">
        <w:t xml:space="preserve">pelas enchentes de 2024, precipitação, elevação e declividade </w:t>
      </w:r>
      <w:r w:rsidR="00A36B62">
        <w:t>dos municípios, uso e ocupação do solo, eventos de inundação</w:t>
      </w:r>
      <w:r w:rsidR="00A426FF">
        <w:t>)</w:t>
      </w:r>
      <w:r w:rsidR="006F20F5">
        <w:t xml:space="preserve"> e populacionais </w:t>
      </w:r>
      <w:r w:rsidR="00A426FF">
        <w:t>(densidade e quantidade populacional</w:t>
      </w:r>
      <w:r w:rsidR="00032818">
        <w:t xml:space="preserve"> por </w:t>
      </w:r>
      <w:r w:rsidR="00DC2AAD">
        <w:t>município</w:t>
      </w:r>
      <w:r w:rsidR="00A426FF">
        <w:t xml:space="preserve">) </w:t>
      </w:r>
      <w:r w:rsidR="006F20F5">
        <w:t xml:space="preserve">com </w:t>
      </w:r>
      <w:r w:rsidR="00714A0A">
        <w:t>os casos de leptospirose</w:t>
      </w:r>
      <w:r w:rsidR="000211E6">
        <w:t xml:space="preserve"> no</w:t>
      </w:r>
      <w:r w:rsidR="00E4612D">
        <w:t xml:space="preserve">s municípios </w:t>
      </w:r>
      <w:r w:rsidR="00555FF0">
        <w:t>afetados pelas enchentes</w:t>
      </w:r>
      <w:r w:rsidR="00E4612D">
        <w:t xml:space="preserve"> no </w:t>
      </w:r>
      <w:r w:rsidR="00656DF8">
        <w:t>Rio Grande do Sul</w:t>
      </w:r>
      <w:r w:rsidR="0083293E">
        <w:t xml:space="preserve">, entre </w:t>
      </w:r>
      <w:r>
        <w:t>1999 e 20</w:t>
      </w:r>
      <w:r w:rsidR="003E1467">
        <w:t>2</w:t>
      </w:r>
      <w:r>
        <w:t>4</w:t>
      </w:r>
      <w:r w:rsidR="00A25238">
        <w:t xml:space="preserve">, dando foco na relação entre aumento de casos e </w:t>
      </w:r>
      <w:r w:rsidR="000B7D69">
        <w:t>as enchentes de 2024.</w:t>
      </w:r>
    </w:p>
    <w:p w14:paraId="7606D8E8" w14:textId="0D4CF448" w:rsidR="009E01C4" w:rsidRDefault="00680057" w:rsidP="009E01C4">
      <w:pPr>
        <w:pStyle w:val="Ttulo2"/>
      </w:pPr>
      <w:r>
        <w:t>Objetivo</w:t>
      </w:r>
      <w:r w:rsidR="00636937">
        <w:t>s</w:t>
      </w:r>
      <w:r w:rsidR="009E01C4">
        <w:t xml:space="preserve"> </w:t>
      </w:r>
      <w:r>
        <w:t>específico</w:t>
      </w:r>
      <w:r w:rsidR="00636937">
        <w:t>s</w:t>
      </w:r>
    </w:p>
    <w:p w14:paraId="0778522A" w14:textId="28656C48" w:rsidR="00D92191" w:rsidRDefault="00B00839" w:rsidP="00D92191">
      <w:pPr>
        <w:pStyle w:val="Ttulo2"/>
        <w:numPr>
          <w:ilvl w:val="0"/>
          <w:numId w:val="9"/>
        </w:numPr>
        <w:rPr>
          <w:b w:val="0"/>
          <w:bCs/>
        </w:rPr>
      </w:pPr>
      <w:r>
        <w:rPr>
          <w:b w:val="0"/>
          <w:bCs/>
        </w:rPr>
        <w:t>Identificar as áreas inundadas pela</w:t>
      </w:r>
      <w:r w:rsidR="00D92191">
        <w:rPr>
          <w:b w:val="0"/>
          <w:bCs/>
        </w:rPr>
        <w:t>s enchentes de 2024.</w:t>
      </w:r>
    </w:p>
    <w:p w14:paraId="6E2089C2" w14:textId="02CF8FD9" w:rsidR="0032337C" w:rsidRDefault="008F312A" w:rsidP="0032337C">
      <w:pPr>
        <w:pStyle w:val="PargrafodaLista"/>
        <w:numPr>
          <w:ilvl w:val="0"/>
          <w:numId w:val="9"/>
        </w:numPr>
      </w:pPr>
      <w:r>
        <w:t xml:space="preserve">Analisar </w:t>
      </w:r>
      <w:r w:rsidR="00C44CE8">
        <w:t xml:space="preserve">estatisticamente </w:t>
      </w:r>
      <w:r>
        <w:t xml:space="preserve">a progressão de casos </w:t>
      </w:r>
      <w:r w:rsidR="008F1633">
        <w:t>de leptospirose entre os anos de 1999 e 2024.</w:t>
      </w:r>
    </w:p>
    <w:p w14:paraId="2101C235" w14:textId="77777777" w:rsidR="00B16BE3" w:rsidRDefault="002F04BD" w:rsidP="001D56F1">
      <w:pPr>
        <w:pStyle w:val="Ttulo1"/>
        <w:ind w:left="345" w:hanging="360"/>
        <w:jc w:val="both"/>
      </w:pPr>
      <w:r>
        <w:t xml:space="preserve">Métodos </w:t>
      </w:r>
    </w:p>
    <w:p w14:paraId="63EC97F0" w14:textId="5F766B79" w:rsidR="00B16BE3" w:rsidRDefault="002F04BD" w:rsidP="001D56F1">
      <w:pPr>
        <w:pStyle w:val="Ttulo2"/>
        <w:ind w:left="792" w:hanging="432"/>
        <w:jc w:val="both"/>
      </w:pPr>
      <w:r>
        <w:t xml:space="preserve">Dados </w:t>
      </w:r>
    </w:p>
    <w:p w14:paraId="068DBADE" w14:textId="39C5011C" w:rsidR="00B16BE3" w:rsidRDefault="00E85306" w:rsidP="001D56F1">
      <w:pPr>
        <w:ind w:left="-5"/>
      </w:pPr>
      <w:r>
        <w:t xml:space="preserve">Será utilizado um conjunto de dados </w:t>
      </w:r>
      <w:r w:rsidR="004770F3">
        <w:t xml:space="preserve">para </w:t>
      </w:r>
      <w:r w:rsidR="001A753E">
        <w:t xml:space="preserve">análise das relações entre casos de leptospirose e </w:t>
      </w:r>
      <w:r w:rsidR="00E51F42">
        <w:t>características ambientais e populacionais da área de estudo</w:t>
      </w:r>
      <w:r w:rsidR="001D56F1">
        <w:t>.</w:t>
      </w:r>
    </w:p>
    <w:p w14:paraId="7ABC044A" w14:textId="51BFA44F" w:rsidR="006A3F97" w:rsidRDefault="002F04BD" w:rsidP="00FC002C">
      <w:pPr>
        <w:ind w:left="-5"/>
        <w:jc w:val="center"/>
      </w:pPr>
      <w:r>
        <w:t>Tabela 1 – Dados utilizados</w:t>
      </w:r>
      <w:r w:rsidR="004574D7">
        <w:t xml:space="preserve"> na análise</w:t>
      </w:r>
    </w:p>
    <w:tbl>
      <w:tblPr>
        <w:tblW w:w="9340" w:type="dxa"/>
        <w:tblCellMar>
          <w:left w:w="70" w:type="dxa"/>
          <w:right w:w="70" w:type="dxa"/>
        </w:tblCellMar>
        <w:tblLook w:val="04A0" w:firstRow="1" w:lastRow="0" w:firstColumn="1" w:lastColumn="0" w:noHBand="0" w:noVBand="1"/>
      </w:tblPr>
      <w:tblGrid>
        <w:gridCol w:w="1536"/>
        <w:gridCol w:w="2349"/>
        <w:gridCol w:w="1620"/>
        <w:gridCol w:w="1830"/>
        <w:gridCol w:w="1859"/>
        <w:gridCol w:w="146"/>
      </w:tblGrid>
      <w:tr w:rsidR="006A3F97" w:rsidRPr="006A3F97" w14:paraId="19C0AECA" w14:textId="77777777" w:rsidTr="00A4171E">
        <w:trPr>
          <w:gridAfter w:val="1"/>
          <w:wAfter w:w="146" w:type="dxa"/>
          <w:trHeight w:val="458"/>
        </w:trPr>
        <w:tc>
          <w:tcPr>
            <w:tcW w:w="1536" w:type="dxa"/>
            <w:vMerge w:val="restart"/>
            <w:tcBorders>
              <w:top w:val="single" w:sz="8" w:space="0" w:color="auto"/>
              <w:left w:val="single" w:sz="8" w:space="0" w:color="auto"/>
              <w:bottom w:val="single" w:sz="8" w:space="0" w:color="000000"/>
              <w:right w:val="single" w:sz="8" w:space="0" w:color="000000"/>
            </w:tcBorders>
            <w:shd w:val="clear" w:color="000000" w:fill="A5A5A5"/>
            <w:vAlign w:val="center"/>
            <w:hideMark/>
          </w:tcPr>
          <w:p w14:paraId="19FD8EC2" w14:textId="77777777" w:rsidR="006A3F97" w:rsidRPr="006A3F97" w:rsidRDefault="006A3F97" w:rsidP="006A3F97">
            <w:pPr>
              <w:spacing w:after="0" w:line="240" w:lineRule="auto"/>
              <w:ind w:left="0" w:firstLine="0"/>
              <w:jc w:val="center"/>
              <w:rPr>
                <w:b/>
                <w:bCs/>
                <w:sz w:val="22"/>
              </w:rPr>
            </w:pPr>
            <w:r w:rsidRPr="006A3F97">
              <w:rPr>
                <w:b/>
                <w:bCs/>
                <w:sz w:val="22"/>
              </w:rPr>
              <w:t>Elemento</w:t>
            </w:r>
          </w:p>
        </w:tc>
        <w:tc>
          <w:tcPr>
            <w:tcW w:w="2349" w:type="dxa"/>
            <w:vMerge w:val="restart"/>
            <w:tcBorders>
              <w:top w:val="single" w:sz="8" w:space="0" w:color="auto"/>
              <w:left w:val="single" w:sz="8" w:space="0" w:color="000000"/>
              <w:bottom w:val="single" w:sz="8" w:space="0" w:color="000000"/>
              <w:right w:val="single" w:sz="8" w:space="0" w:color="000000"/>
            </w:tcBorders>
            <w:shd w:val="clear" w:color="000000" w:fill="A5A5A5"/>
            <w:vAlign w:val="center"/>
            <w:hideMark/>
          </w:tcPr>
          <w:p w14:paraId="2F5A7654" w14:textId="77777777" w:rsidR="006A3F97" w:rsidRPr="006A3F97" w:rsidRDefault="006A3F97" w:rsidP="006A3F97">
            <w:pPr>
              <w:spacing w:after="0" w:line="240" w:lineRule="auto"/>
              <w:ind w:left="0" w:firstLine="0"/>
              <w:jc w:val="center"/>
              <w:rPr>
                <w:b/>
                <w:bCs/>
                <w:sz w:val="22"/>
              </w:rPr>
            </w:pPr>
            <w:r w:rsidRPr="006A3F97">
              <w:rPr>
                <w:b/>
                <w:bCs/>
                <w:sz w:val="22"/>
              </w:rPr>
              <w:t>Dado</w:t>
            </w:r>
          </w:p>
        </w:tc>
        <w:tc>
          <w:tcPr>
            <w:tcW w:w="1620" w:type="dxa"/>
            <w:vMerge w:val="restart"/>
            <w:tcBorders>
              <w:top w:val="single" w:sz="8" w:space="0" w:color="auto"/>
              <w:left w:val="single" w:sz="8" w:space="0" w:color="000000"/>
              <w:bottom w:val="single" w:sz="8" w:space="0" w:color="000000"/>
              <w:right w:val="single" w:sz="8" w:space="0" w:color="000000"/>
            </w:tcBorders>
            <w:shd w:val="clear" w:color="000000" w:fill="A5A5A5"/>
            <w:vAlign w:val="center"/>
            <w:hideMark/>
          </w:tcPr>
          <w:p w14:paraId="3C7A43CA" w14:textId="77777777" w:rsidR="006A3F97" w:rsidRPr="006A3F97" w:rsidRDefault="006A3F97" w:rsidP="006A3F97">
            <w:pPr>
              <w:spacing w:after="0" w:line="240" w:lineRule="auto"/>
              <w:ind w:left="0" w:firstLine="0"/>
              <w:jc w:val="center"/>
              <w:rPr>
                <w:b/>
                <w:bCs/>
                <w:sz w:val="22"/>
              </w:rPr>
            </w:pPr>
            <w:r w:rsidRPr="006A3F97">
              <w:rPr>
                <w:b/>
                <w:bCs/>
                <w:sz w:val="22"/>
              </w:rPr>
              <w:t xml:space="preserve">Fonte </w:t>
            </w:r>
          </w:p>
        </w:tc>
        <w:tc>
          <w:tcPr>
            <w:tcW w:w="1830" w:type="dxa"/>
            <w:vMerge w:val="restart"/>
            <w:tcBorders>
              <w:top w:val="single" w:sz="8" w:space="0" w:color="auto"/>
              <w:left w:val="single" w:sz="8" w:space="0" w:color="000000"/>
              <w:bottom w:val="single" w:sz="8" w:space="0" w:color="000000"/>
              <w:right w:val="single" w:sz="8" w:space="0" w:color="000000"/>
            </w:tcBorders>
            <w:shd w:val="clear" w:color="000000" w:fill="A5A5A5"/>
            <w:vAlign w:val="center"/>
            <w:hideMark/>
          </w:tcPr>
          <w:p w14:paraId="39877CF7" w14:textId="77777777" w:rsidR="006A3F97" w:rsidRPr="006A3F97" w:rsidRDefault="006A3F97" w:rsidP="006A3F97">
            <w:pPr>
              <w:spacing w:after="0" w:line="240" w:lineRule="auto"/>
              <w:ind w:left="0" w:firstLine="0"/>
              <w:jc w:val="center"/>
              <w:rPr>
                <w:b/>
                <w:bCs/>
                <w:sz w:val="22"/>
              </w:rPr>
            </w:pPr>
            <w:r w:rsidRPr="006A3F97">
              <w:rPr>
                <w:b/>
                <w:bCs/>
                <w:sz w:val="22"/>
              </w:rPr>
              <w:t xml:space="preserve">Ano </w:t>
            </w:r>
          </w:p>
        </w:tc>
        <w:tc>
          <w:tcPr>
            <w:tcW w:w="1859" w:type="dxa"/>
            <w:vMerge w:val="restart"/>
            <w:tcBorders>
              <w:top w:val="single" w:sz="8" w:space="0" w:color="auto"/>
              <w:left w:val="single" w:sz="8" w:space="0" w:color="000000"/>
              <w:bottom w:val="single" w:sz="8" w:space="0" w:color="000000"/>
              <w:right w:val="single" w:sz="8" w:space="0" w:color="auto"/>
            </w:tcBorders>
            <w:shd w:val="clear" w:color="000000" w:fill="A5A5A5"/>
            <w:vAlign w:val="center"/>
            <w:hideMark/>
          </w:tcPr>
          <w:p w14:paraId="1DD1EEBE" w14:textId="77777777" w:rsidR="006A3F97" w:rsidRPr="006A3F97" w:rsidRDefault="006A3F97" w:rsidP="006A3F97">
            <w:pPr>
              <w:spacing w:after="0" w:line="240" w:lineRule="auto"/>
              <w:ind w:left="0" w:firstLine="0"/>
              <w:jc w:val="center"/>
              <w:rPr>
                <w:b/>
                <w:bCs/>
                <w:sz w:val="22"/>
              </w:rPr>
            </w:pPr>
            <w:r w:rsidRPr="006A3F97">
              <w:rPr>
                <w:b/>
                <w:bCs/>
                <w:sz w:val="22"/>
              </w:rPr>
              <w:t xml:space="preserve">Tipo </w:t>
            </w:r>
          </w:p>
        </w:tc>
      </w:tr>
      <w:tr w:rsidR="006A3F97" w:rsidRPr="006A3F97" w14:paraId="3EF3890A" w14:textId="77777777" w:rsidTr="00A4171E">
        <w:trPr>
          <w:trHeight w:val="300"/>
        </w:trPr>
        <w:tc>
          <w:tcPr>
            <w:tcW w:w="1536" w:type="dxa"/>
            <w:vMerge/>
            <w:tcBorders>
              <w:top w:val="single" w:sz="8" w:space="0" w:color="auto"/>
              <w:left w:val="single" w:sz="8" w:space="0" w:color="auto"/>
              <w:bottom w:val="single" w:sz="8" w:space="0" w:color="000000"/>
              <w:right w:val="single" w:sz="8" w:space="0" w:color="000000"/>
            </w:tcBorders>
            <w:vAlign w:val="center"/>
            <w:hideMark/>
          </w:tcPr>
          <w:p w14:paraId="0FFE44F7" w14:textId="77777777" w:rsidR="006A3F97" w:rsidRPr="006A3F97" w:rsidRDefault="006A3F97" w:rsidP="006A3F97">
            <w:pPr>
              <w:spacing w:after="0" w:line="240" w:lineRule="auto"/>
              <w:ind w:left="0" w:firstLine="0"/>
              <w:jc w:val="left"/>
              <w:rPr>
                <w:b/>
                <w:bCs/>
                <w:sz w:val="22"/>
              </w:rPr>
            </w:pPr>
          </w:p>
        </w:tc>
        <w:tc>
          <w:tcPr>
            <w:tcW w:w="2349" w:type="dxa"/>
            <w:vMerge/>
            <w:tcBorders>
              <w:top w:val="single" w:sz="8" w:space="0" w:color="auto"/>
              <w:left w:val="single" w:sz="8" w:space="0" w:color="000000"/>
              <w:bottom w:val="single" w:sz="8" w:space="0" w:color="000000"/>
              <w:right w:val="single" w:sz="8" w:space="0" w:color="000000"/>
            </w:tcBorders>
            <w:vAlign w:val="center"/>
            <w:hideMark/>
          </w:tcPr>
          <w:p w14:paraId="28A87972" w14:textId="77777777" w:rsidR="006A3F97" w:rsidRPr="006A3F97" w:rsidRDefault="006A3F97" w:rsidP="006A3F97">
            <w:pPr>
              <w:spacing w:after="0" w:line="240" w:lineRule="auto"/>
              <w:ind w:left="0" w:firstLine="0"/>
              <w:jc w:val="left"/>
              <w:rPr>
                <w:b/>
                <w:bCs/>
                <w:sz w:val="22"/>
              </w:rPr>
            </w:pPr>
          </w:p>
        </w:tc>
        <w:tc>
          <w:tcPr>
            <w:tcW w:w="1620" w:type="dxa"/>
            <w:vMerge/>
            <w:tcBorders>
              <w:top w:val="single" w:sz="8" w:space="0" w:color="auto"/>
              <w:left w:val="single" w:sz="8" w:space="0" w:color="000000"/>
              <w:bottom w:val="single" w:sz="8" w:space="0" w:color="000000"/>
              <w:right w:val="single" w:sz="8" w:space="0" w:color="000000"/>
            </w:tcBorders>
            <w:vAlign w:val="center"/>
            <w:hideMark/>
          </w:tcPr>
          <w:p w14:paraId="6247C95A" w14:textId="77777777" w:rsidR="006A3F97" w:rsidRPr="006A3F97" w:rsidRDefault="006A3F97" w:rsidP="006A3F97">
            <w:pPr>
              <w:spacing w:after="0" w:line="240" w:lineRule="auto"/>
              <w:ind w:left="0" w:firstLine="0"/>
              <w:jc w:val="left"/>
              <w:rPr>
                <w:b/>
                <w:bCs/>
                <w:sz w:val="22"/>
              </w:rPr>
            </w:pPr>
          </w:p>
        </w:tc>
        <w:tc>
          <w:tcPr>
            <w:tcW w:w="1830" w:type="dxa"/>
            <w:vMerge/>
            <w:tcBorders>
              <w:top w:val="single" w:sz="8" w:space="0" w:color="auto"/>
              <w:left w:val="single" w:sz="8" w:space="0" w:color="000000"/>
              <w:bottom w:val="single" w:sz="8" w:space="0" w:color="000000"/>
              <w:right w:val="single" w:sz="8" w:space="0" w:color="000000"/>
            </w:tcBorders>
            <w:vAlign w:val="center"/>
            <w:hideMark/>
          </w:tcPr>
          <w:p w14:paraId="770471B6" w14:textId="77777777" w:rsidR="006A3F97" w:rsidRPr="006A3F97" w:rsidRDefault="006A3F97" w:rsidP="006A3F97">
            <w:pPr>
              <w:spacing w:after="0" w:line="240" w:lineRule="auto"/>
              <w:ind w:left="0" w:firstLine="0"/>
              <w:jc w:val="left"/>
              <w:rPr>
                <w:b/>
                <w:bCs/>
                <w:sz w:val="22"/>
              </w:rPr>
            </w:pPr>
          </w:p>
        </w:tc>
        <w:tc>
          <w:tcPr>
            <w:tcW w:w="1859" w:type="dxa"/>
            <w:vMerge/>
            <w:tcBorders>
              <w:top w:val="single" w:sz="8" w:space="0" w:color="auto"/>
              <w:left w:val="single" w:sz="8" w:space="0" w:color="000000"/>
              <w:bottom w:val="single" w:sz="8" w:space="0" w:color="000000"/>
              <w:right w:val="single" w:sz="8" w:space="0" w:color="auto"/>
            </w:tcBorders>
            <w:vAlign w:val="center"/>
            <w:hideMark/>
          </w:tcPr>
          <w:p w14:paraId="008B422A" w14:textId="77777777" w:rsidR="006A3F97" w:rsidRPr="006A3F97" w:rsidRDefault="006A3F97" w:rsidP="006A3F97">
            <w:pPr>
              <w:spacing w:after="0" w:line="240" w:lineRule="auto"/>
              <w:ind w:left="0" w:firstLine="0"/>
              <w:jc w:val="left"/>
              <w:rPr>
                <w:b/>
                <w:bCs/>
                <w:sz w:val="22"/>
              </w:rPr>
            </w:pPr>
          </w:p>
        </w:tc>
        <w:tc>
          <w:tcPr>
            <w:tcW w:w="146" w:type="dxa"/>
            <w:tcBorders>
              <w:top w:val="nil"/>
              <w:left w:val="nil"/>
              <w:bottom w:val="nil"/>
              <w:right w:val="nil"/>
            </w:tcBorders>
            <w:shd w:val="clear" w:color="auto" w:fill="auto"/>
            <w:noWrap/>
            <w:vAlign w:val="bottom"/>
            <w:hideMark/>
          </w:tcPr>
          <w:p w14:paraId="79760039" w14:textId="77777777" w:rsidR="006A3F97" w:rsidRPr="006A3F97" w:rsidRDefault="006A3F97" w:rsidP="006A3F97">
            <w:pPr>
              <w:spacing w:after="0" w:line="240" w:lineRule="auto"/>
              <w:ind w:left="0" w:firstLine="0"/>
              <w:jc w:val="center"/>
              <w:rPr>
                <w:b/>
                <w:bCs/>
                <w:sz w:val="22"/>
              </w:rPr>
            </w:pPr>
          </w:p>
        </w:tc>
      </w:tr>
      <w:tr w:rsidR="006A3F97" w:rsidRPr="006A3F97" w14:paraId="2A88956F" w14:textId="77777777" w:rsidTr="00A4171E">
        <w:trPr>
          <w:trHeight w:val="315"/>
        </w:trPr>
        <w:tc>
          <w:tcPr>
            <w:tcW w:w="1536" w:type="dxa"/>
            <w:vMerge/>
            <w:tcBorders>
              <w:top w:val="single" w:sz="8" w:space="0" w:color="auto"/>
              <w:left w:val="single" w:sz="8" w:space="0" w:color="auto"/>
              <w:bottom w:val="single" w:sz="8" w:space="0" w:color="000000"/>
              <w:right w:val="single" w:sz="8" w:space="0" w:color="000000"/>
            </w:tcBorders>
            <w:vAlign w:val="center"/>
            <w:hideMark/>
          </w:tcPr>
          <w:p w14:paraId="1FDD0D17" w14:textId="77777777" w:rsidR="006A3F97" w:rsidRPr="006A3F97" w:rsidRDefault="006A3F97" w:rsidP="006A3F97">
            <w:pPr>
              <w:spacing w:after="0" w:line="240" w:lineRule="auto"/>
              <w:ind w:left="0" w:firstLine="0"/>
              <w:jc w:val="left"/>
              <w:rPr>
                <w:b/>
                <w:bCs/>
                <w:sz w:val="22"/>
              </w:rPr>
            </w:pPr>
          </w:p>
        </w:tc>
        <w:tc>
          <w:tcPr>
            <w:tcW w:w="2349" w:type="dxa"/>
            <w:vMerge/>
            <w:tcBorders>
              <w:top w:val="single" w:sz="8" w:space="0" w:color="auto"/>
              <w:left w:val="single" w:sz="8" w:space="0" w:color="000000"/>
              <w:bottom w:val="single" w:sz="8" w:space="0" w:color="000000"/>
              <w:right w:val="single" w:sz="8" w:space="0" w:color="000000"/>
            </w:tcBorders>
            <w:vAlign w:val="center"/>
            <w:hideMark/>
          </w:tcPr>
          <w:p w14:paraId="7E4BF7A1" w14:textId="77777777" w:rsidR="006A3F97" w:rsidRPr="006A3F97" w:rsidRDefault="006A3F97" w:rsidP="006A3F97">
            <w:pPr>
              <w:spacing w:after="0" w:line="240" w:lineRule="auto"/>
              <w:ind w:left="0" w:firstLine="0"/>
              <w:jc w:val="left"/>
              <w:rPr>
                <w:b/>
                <w:bCs/>
                <w:sz w:val="22"/>
              </w:rPr>
            </w:pPr>
          </w:p>
        </w:tc>
        <w:tc>
          <w:tcPr>
            <w:tcW w:w="1620" w:type="dxa"/>
            <w:vMerge/>
            <w:tcBorders>
              <w:top w:val="single" w:sz="8" w:space="0" w:color="auto"/>
              <w:left w:val="single" w:sz="8" w:space="0" w:color="000000"/>
              <w:bottom w:val="single" w:sz="8" w:space="0" w:color="000000"/>
              <w:right w:val="single" w:sz="8" w:space="0" w:color="000000"/>
            </w:tcBorders>
            <w:vAlign w:val="center"/>
            <w:hideMark/>
          </w:tcPr>
          <w:p w14:paraId="4367D83E" w14:textId="77777777" w:rsidR="006A3F97" w:rsidRPr="006A3F97" w:rsidRDefault="006A3F97" w:rsidP="006A3F97">
            <w:pPr>
              <w:spacing w:after="0" w:line="240" w:lineRule="auto"/>
              <w:ind w:left="0" w:firstLine="0"/>
              <w:jc w:val="left"/>
              <w:rPr>
                <w:b/>
                <w:bCs/>
                <w:sz w:val="22"/>
              </w:rPr>
            </w:pPr>
          </w:p>
        </w:tc>
        <w:tc>
          <w:tcPr>
            <w:tcW w:w="1830" w:type="dxa"/>
            <w:vMerge/>
            <w:tcBorders>
              <w:top w:val="single" w:sz="8" w:space="0" w:color="auto"/>
              <w:left w:val="single" w:sz="8" w:space="0" w:color="000000"/>
              <w:bottom w:val="single" w:sz="8" w:space="0" w:color="000000"/>
              <w:right w:val="single" w:sz="8" w:space="0" w:color="000000"/>
            </w:tcBorders>
            <w:vAlign w:val="center"/>
            <w:hideMark/>
          </w:tcPr>
          <w:p w14:paraId="01DFAD00" w14:textId="77777777" w:rsidR="006A3F97" w:rsidRPr="006A3F97" w:rsidRDefault="006A3F97" w:rsidP="006A3F97">
            <w:pPr>
              <w:spacing w:after="0" w:line="240" w:lineRule="auto"/>
              <w:ind w:left="0" w:firstLine="0"/>
              <w:jc w:val="left"/>
              <w:rPr>
                <w:b/>
                <w:bCs/>
                <w:sz w:val="22"/>
              </w:rPr>
            </w:pPr>
          </w:p>
        </w:tc>
        <w:tc>
          <w:tcPr>
            <w:tcW w:w="1859" w:type="dxa"/>
            <w:vMerge/>
            <w:tcBorders>
              <w:top w:val="single" w:sz="8" w:space="0" w:color="auto"/>
              <w:left w:val="single" w:sz="8" w:space="0" w:color="000000"/>
              <w:bottom w:val="single" w:sz="8" w:space="0" w:color="000000"/>
              <w:right w:val="single" w:sz="8" w:space="0" w:color="auto"/>
            </w:tcBorders>
            <w:vAlign w:val="center"/>
            <w:hideMark/>
          </w:tcPr>
          <w:p w14:paraId="7CFC90BE" w14:textId="77777777" w:rsidR="006A3F97" w:rsidRPr="006A3F97" w:rsidRDefault="006A3F97" w:rsidP="006A3F97">
            <w:pPr>
              <w:spacing w:after="0" w:line="240" w:lineRule="auto"/>
              <w:ind w:left="0" w:firstLine="0"/>
              <w:jc w:val="left"/>
              <w:rPr>
                <w:b/>
                <w:bCs/>
                <w:sz w:val="22"/>
              </w:rPr>
            </w:pPr>
          </w:p>
        </w:tc>
        <w:tc>
          <w:tcPr>
            <w:tcW w:w="146" w:type="dxa"/>
            <w:tcBorders>
              <w:top w:val="nil"/>
              <w:left w:val="nil"/>
              <w:bottom w:val="nil"/>
              <w:right w:val="nil"/>
            </w:tcBorders>
            <w:shd w:val="clear" w:color="auto" w:fill="auto"/>
            <w:noWrap/>
            <w:vAlign w:val="bottom"/>
            <w:hideMark/>
          </w:tcPr>
          <w:p w14:paraId="0049CEA1" w14:textId="77777777" w:rsidR="006A3F97" w:rsidRPr="006A3F97" w:rsidRDefault="006A3F97" w:rsidP="006A3F97">
            <w:pPr>
              <w:spacing w:after="0" w:line="240" w:lineRule="auto"/>
              <w:ind w:left="0" w:firstLine="0"/>
              <w:jc w:val="left"/>
              <w:rPr>
                <w:color w:val="auto"/>
                <w:sz w:val="20"/>
                <w:szCs w:val="20"/>
              </w:rPr>
            </w:pPr>
          </w:p>
        </w:tc>
      </w:tr>
      <w:tr w:rsidR="00D91358" w:rsidRPr="006A3F97" w14:paraId="040470C7" w14:textId="77777777" w:rsidTr="005A17B0">
        <w:trPr>
          <w:trHeight w:val="960"/>
        </w:trPr>
        <w:tc>
          <w:tcPr>
            <w:tcW w:w="1536" w:type="dxa"/>
            <w:vMerge w:val="restart"/>
            <w:tcBorders>
              <w:top w:val="nil"/>
              <w:left w:val="single" w:sz="8" w:space="0" w:color="auto"/>
              <w:right w:val="single" w:sz="8" w:space="0" w:color="000000"/>
            </w:tcBorders>
            <w:shd w:val="clear" w:color="000000" w:fill="E7E6E6"/>
            <w:vAlign w:val="center"/>
            <w:hideMark/>
          </w:tcPr>
          <w:p w14:paraId="54D99DD7" w14:textId="77777777" w:rsidR="00D91358" w:rsidRPr="006A3F97" w:rsidRDefault="00D91358" w:rsidP="006A3F97">
            <w:pPr>
              <w:spacing w:after="0" w:line="240" w:lineRule="auto"/>
              <w:ind w:left="0" w:firstLine="0"/>
              <w:jc w:val="center"/>
              <w:rPr>
                <w:b/>
                <w:bCs/>
                <w:szCs w:val="24"/>
              </w:rPr>
            </w:pPr>
            <w:r w:rsidRPr="006A3F97">
              <w:rPr>
                <w:b/>
                <w:bCs/>
                <w:szCs w:val="24"/>
              </w:rPr>
              <w:lastRenderedPageBreak/>
              <w:t>População</w:t>
            </w:r>
          </w:p>
        </w:tc>
        <w:tc>
          <w:tcPr>
            <w:tcW w:w="2349" w:type="dxa"/>
            <w:tcBorders>
              <w:top w:val="nil"/>
              <w:left w:val="nil"/>
              <w:bottom w:val="single" w:sz="8" w:space="0" w:color="000000"/>
              <w:right w:val="single" w:sz="8" w:space="0" w:color="000000"/>
            </w:tcBorders>
            <w:shd w:val="clear" w:color="auto" w:fill="auto"/>
            <w:vAlign w:val="center"/>
            <w:hideMark/>
          </w:tcPr>
          <w:p w14:paraId="3B891327" w14:textId="0DFBAB00" w:rsidR="00D91358" w:rsidRPr="006A3F97" w:rsidRDefault="0066228C" w:rsidP="006A3F97">
            <w:pPr>
              <w:spacing w:after="0" w:line="240" w:lineRule="auto"/>
              <w:ind w:left="0" w:firstLine="0"/>
              <w:jc w:val="center"/>
              <w:rPr>
                <w:szCs w:val="24"/>
              </w:rPr>
            </w:pPr>
            <w:r>
              <w:rPr>
                <w:szCs w:val="24"/>
              </w:rPr>
              <w:t>Estimativa de d</w:t>
            </w:r>
            <w:r w:rsidR="00D91358">
              <w:rPr>
                <w:szCs w:val="24"/>
              </w:rPr>
              <w:t>ensidade populacional</w:t>
            </w:r>
            <w:r w:rsidR="007E180B">
              <w:rPr>
                <w:szCs w:val="24"/>
              </w:rPr>
              <w:t xml:space="preserve"> anual</w:t>
            </w:r>
            <w:r w:rsidR="00D91358">
              <w:rPr>
                <w:szCs w:val="24"/>
              </w:rPr>
              <w:t xml:space="preserve"> por </w:t>
            </w:r>
            <w:r w:rsidR="005722D6">
              <w:rPr>
                <w:szCs w:val="24"/>
              </w:rPr>
              <w:t>município</w:t>
            </w:r>
          </w:p>
        </w:tc>
        <w:tc>
          <w:tcPr>
            <w:tcW w:w="1620" w:type="dxa"/>
            <w:tcBorders>
              <w:top w:val="nil"/>
              <w:left w:val="nil"/>
              <w:bottom w:val="single" w:sz="8" w:space="0" w:color="000000"/>
              <w:right w:val="single" w:sz="8" w:space="0" w:color="000000"/>
            </w:tcBorders>
            <w:shd w:val="clear" w:color="auto" w:fill="auto"/>
            <w:vAlign w:val="center"/>
            <w:hideMark/>
          </w:tcPr>
          <w:p w14:paraId="14B0950A" w14:textId="375F9BC6" w:rsidR="00D91358" w:rsidRPr="006A3F97" w:rsidRDefault="004C40A9" w:rsidP="006A3F97">
            <w:pPr>
              <w:spacing w:after="0" w:line="240" w:lineRule="auto"/>
              <w:ind w:left="0" w:firstLine="0"/>
              <w:jc w:val="center"/>
              <w:rPr>
                <w:color w:val="0563C1"/>
                <w:szCs w:val="24"/>
              </w:rPr>
            </w:pPr>
            <w:hyperlink r:id="rId12" w:history="1">
              <w:r w:rsidR="00036373" w:rsidRPr="00036373">
                <w:rPr>
                  <w:rStyle w:val="Hyperlink"/>
                  <w:szCs w:val="24"/>
                </w:rPr>
                <w:t>IEDE - RS</w:t>
              </w:r>
            </w:hyperlink>
          </w:p>
        </w:tc>
        <w:tc>
          <w:tcPr>
            <w:tcW w:w="1830" w:type="dxa"/>
            <w:tcBorders>
              <w:top w:val="nil"/>
              <w:left w:val="nil"/>
              <w:bottom w:val="single" w:sz="8" w:space="0" w:color="000000"/>
              <w:right w:val="single" w:sz="8" w:space="0" w:color="000000"/>
            </w:tcBorders>
            <w:shd w:val="clear" w:color="auto" w:fill="auto"/>
            <w:vAlign w:val="center"/>
            <w:hideMark/>
          </w:tcPr>
          <w:p w14:paraId="55525A40" w14:textId="42CEFD5A" w:rsidR="00D91358" w:rsidRPr="006A3F97" w:rsidRDefault="009A3509" w:rsidP="006A3F97">
            <w:pPr>
              <w:spacing w:after="0" w:line="240" w:lineRule="auto"/>
              <w:ind w:left="0" w:firstLine="0"/>
              <w:jc w:val="center"/>
              <w:rPr>
                <w:szCs w:val="24"/>
              </w:rPr>
            </w:pPr>
            <w:r>
              <w:rPr>
                <w:szCs w:val="24"/>
              </w:rPr>
              <w:t>1999-</w:t>
            </w:r>
            <w:r w:rsidR="0066228C">
              <w:rPr>
                <w:szCs w:val="24"/>
              </w:rPr>
              <w:t>2024</w:t>
            </w:r>
          </w:p>
        </w:tc>
        <w:tc>
          <w:tcPr>
            <w:tcW w:w="1859" w:type="dxa"/>
            <w:tcBorders>
              <w:top w:val="nil"/>
              <w:left w:val="nil"/>
              <w:bottom w:val="single" w:sz="8" w:space="0" w:color="000000"/>
              <w:right w:val="single" w:sz="8" w:space="0" w:color="auto"/>
            </w:tcBorders>
            <w:shd w:val="clear" w:color="auto" w:fill="auto"/>
            <w:vAlign w:val="center"/>
            <w:hideMark/>
          </w:tcPr>
          <w:p w14:paraId="535D3D3D" w14:textId="6C6F66E2" w:rsidR="00D91358" w:rsidRPr="006A3F97" w:rsidRDefault="00D91358" w:rsidP="006A3F97">
            <w:pPr>
              <w:spacing w:after="0" w:line="240" w:lineRule="auto"/>
              <w:ind w:left="0" w:firstLine="0"/>
              <w:jc w:val="center"/>
              <w:rPr>
                <w:szCs w:val="24"/>
              </w:rPr>
            </w:pPr>
            <w:r>
              <w:rPr>
                <w:szCs w:val="24"/>
              </w:rPr>
              <w:t>Vetorial (Polígono)</w:t>
            </w:r>
          </w:p>
        </w:tc>
        <w:tc>
          <w:tcPr>
            <w:tcW w:w="146" w:type="dxa"/>
            <w:vAlign w:val="center"/>
            <w:hideMark/>
          </w:tcPr>
          <w:p w14:paraId="3B032DE5" w14:textId="77777777" w:rsidR="00D91358" w:rsidRPr="006A3F97" w:rsidRDefault="00D91358" w:rsidP="006A3F97">
            <w:pPr>
              <w:spacing w:after="0" w:line="240" w:lineRule="auto"/>
              <w:ind w:left="0" w:firstLine="0"/>
              <w:jc w:val="left"/>
              <w:rPr>
                <w:color w:val="auto"/>
                <w:sz w:val="20"/>
                <w:szCs w:val="20"/>
              </w:rPr>
            </w:pPr>
          </w:p>
        </w:tc>
      </w:tr>
      <w:tr w:rsidR="00D91358" w:rsidRPr="006A3F97" w14:paraId="1D481731" w14:textId="77777777" w:rsidTr="00C23B37">
        <w:trPr>
          <w:trHeight w:val="960"/>
        </w:trPr>
        <w:tc>
          <w:tcPr>
            <w:tcW w:w="1536" w:type="dxa"/>
            <w:vMerge/>
            <w:tcBorders>
              <w:left w:val="single" w:sz="8" w:space="0" w:color="auto"/>
              <w:right w:val="single" w:sz="8" w:space="0" w:color="000000"/>
            </w:tcBorders>
            <w:shd w:val="clear" w:color="000000" w:fill="E7E6E6"/>
            <w:vAlign w:val="center"/>
          </w:tcPr>
          <w:p w14:paraId="5E6FC547" w14:textId="77777777" w:rsidR="00D91358" w:rsidRPr="006A3F97" w:rsidRDefault="00D91358" w:rsidP="006A3F97">
            <w:pPr>
              <w:spacing w:after="0" w:line="240" w:lineRule="auto"/>
              <w:ind w:left="0" w:firstLine="0"/>
              <w:jc w:val="center"/>
              <w:rPr>
                <w:b/>
                <w:bCs/>
                <w:szCs w:val="24"/>
              </w:rPr>
            </w:pPr>
          </w:p>
        </w:tc>
        <w:tc>
          <w:tcPr>
            <w:tcW w:w="2349" w:type="dxa"/>
            <w:tcBorders>
              <w:top w:val="nil"/>
              <w:left w:val="nil"/>
              <w:bottom w:val="single" w:sz="8" w:space="0" w:color="000000"/>
              <w:right w:val="single" w:sz="8" w:space="0" w:color="000000"/>
            </w:tcBorders>
            <w:shd w:val="clear" w:color="auto" w:fill="auto"/>
            <w:vAlign w:val="center"/>
          </w:tcPr>
          <w:p w14:paraId="00F00DD0" w14:textId="7DF4C6F2" w:rsidR="00D91358" w:rsidRDefault="0066228C" w:rsidP="006A3F97">
            <w:pPr>
              <w:spacing w:after="0" w:line="240" w:lineRule="auto"/>
              <w:ind w:left="0" w:firstLine="0"/>
              <w:jc w:val="center"/>
              <w:rPr>
                <w:szCs w:val="24"/>
              </w:rPr>
            </w:pPr>
            <w:r>
              <w:rPr>
                <w:szCs w:val="24"/>
              </w:rPr>
              <w:t>Estimativa de q</w:t>
            </w:r>
            <w:r w:rsidR="00D91358">
              <w:rPr>
                <w:szCs w:val="24"/>
              </w:rPr>
              <w:t xml:space="preserve">uantitativo populacional </w:t>
            </w:r>
            <w:r w:rsidR="007E180B">
              <w:rPr>
                <w:szCs w:val="24"/>
              </w:rPr>
              <w:t xml:space="preserve">anual </w:t>
            </w:r>
            <w:r w:rsidR="00D91358">
              <w:rPr>
                <w:szCs w:val="24"/>
              </w:rPr>
              <w:t xml:space="preserve">por </w:t>
            </w:r>
            <w:r w:rsidR="008828B3">
              <w:rPr>
                <w:szCs w:val="24"/>
              </w:rPr>
              <w:t>município</w:t>
            </w:r>
          </w:p>
        </w:tc>
        <w:tc>
          <w:tcPr>
            <w:tcW w:w="1620" w:type="dxa"/>
            <w:tcBorders>
              <w:top w:val="nil"/>
              <w:left w:val="nil"/>
              <w:bottom w:val="single" w:sz="8" w:space="0" w:color="000000"/>
              <w:right w:val="single" w:sz="8" w:space="0" w:color="000000"/>
            </w:tcBorders>
            <w:shd w:val="clear" w:color="auto" w:fill="auto"/>
            <w:vAlign w:val="center"/>
          </w:tcPr>
          <w:p w14:paraId="144E8FF3" w14:textId="76F9F077" w:rsidR="00D91358" w:rsidRDefault="004C40A9" w:rsidP="006A3F97">
            <w:pPr>
              <w:spacing w:after="0" w:line="240" w:lineRule="auto"/>
              <w:ind w:left="0" w:firstLine="0"/>
              <w:jc w:val="center"/>
            </w:pPr>
            <w:hyperlink r:id="rId13" w:history="1">
              <w:r w:rsidR="00036373" w:rsidRPr="00036373">
                <w:rPr>
                  <w:rStyle w:val="Hyperlink"/>
                </w:rPr>
                <w:t>IEDE - RS</w:t>
              </w:r>
            </w:hyperlink>
          </w:p>
        </w:tc>
        <w:tc>
          <w:tcPr>
            <w:tcW w:w="1830" w:type="dxa"/>
            <w:tcBorders>
              <w:top w:val="nil"/>
              <w:left w:val="nil"/>
              <w:bottom w:val="single" w:sz="8" w:space="0" w:color="000000"/>
              <w:right w:val="single" w:sz="8" w:space="0" w:color="000000"/>
            </w:tcBorders>
            <w:shd w:val="clear" w:color="auto" w:fill="auto"/>
            <w:vAlign w:val="center"/>
          </w:tcPr>
          <w:p w14:paraId="24F51746" w14:textId="089BFFA8" w:rsidR="00D91358" w:rsidRDefault="0066228C" w:rsidP="006A3F97">
            <w:pPr>
              <w:spacing w:after="0" w:line="240" w:lineRule="auto"/>
              <w:ind w:left="0" w:firstLine="0"/>
              <w:jc w:val="center"/>
              <w:rPr>
                <w:szCs w:val="24"/>
              </w:rPr>
            </w:pPr>
            <w:r>
              <w:rPr>
                <w:szCs w:val="24"/>
              </w:rPr>
              <w:t>1999-2024</w:t>
            </w:r>
          </w:p>
        </w:tc>
        <w:tc>
          <w:tcPr>
            <w:tcW w:w="1859" w:type="dxa"/>
            <w:tcBorders>
              <w:top w:val="nil"/>
              <w:left w:val="nil"/>
              <w:bottom w:val="single" w:sz="8" w:space="0" w:color="000000"/>
              <w:right w:val="single" w:sz="8" w:space="0" w:color="auto"/>
            </w:tcBorders>
            <w:shd w:val="clear" w:color="auto" w:fill="auto"/>
            <w:vAlign w:val="center"/>
          </w:tcPr>
          <w:p w14:paraId="698AAE08" w14:textId="4D66417E" w:rsidR="00D91358" w:rsidRDefault="00D91358" w:rsidP="006A3F97">
            <w:pPr>
              <w:spacing w:after="0" w:line="240" w:lineRule="auto"/>
              <w:ind w:left="0" w:firstLine="0"/>
              <w:jc w:val="center"/>
              <w:rPr>
                <w:szCs w:val="24"/>
              </w:rPr>
            </w:pPr>
            <w:r>
              <w:rPr>
                <w:szCs w:val="24"/>
              </w:rPr>
              <w:t>Vetorial (Polígono)</w:t>
            </w:r>
          </w:p>
        </w:tc>
        <w:tc>
          <w:tcPr>
            <w:tcW w:w="146" w:type="dxa"/>
            <w:vAlign w:val="center"/>
          </w:tcPr>
          <w:p w14:paraId="08436A0D" w14:textId="77777777" w:rsidR="00D91358" w:rsidRPr="006A3F97" w:rsidRDefault="00D91358" w:rsidP="006A3F97">
            <w:pPr>
              <w:spacing w:after="0" w:line="240" w:lineRule="auto"/>
              <w:ind w:left="0" w:firstLine="0"/>
              <w:jc w:val="left"/>
              <w:rPr>
                <w:color w:val="auto"/>
                <w:sz w:val="20"/>
                <w:szCs w:val="20"/>
              </w:rPr>
            </w:pPr>
          </w:p>
        </w:tc>
      </w:tr>
      <w:tr w:rsidR="00D91358" w:rsidRPr="006A3F97" w14:paraId="2E62B241" w14:textId="77777777" w:rsidTr="005A17B0">
        <w:trPr>
          <w:trHeight w:val="960"/>
        </w:trPr>
        <w:tc>
          <w:tcPr>
            <w:tcW w:w="1536" w:type="dxa"/>
            <w:vMerge/>
            <w:tcBorders>
              <w:left w:val="single" w:sz="8" w:space="0" w:color="auto"/>
              <w:bottom w:val="single" w:sz="8" w:space="0" w:color="000000"/>
              <w:right w:val="single" w:sz="8" w:space="0" w:color="000000"/>
            </w:tcBorders>
            <w:shd w:val="clear" w:color="000000" w:fill="E7E6E6"/>
            <w:vAlign w:val="center"/>
          </w:tcPr>
          <w:p w14:paraId="70F4D54C" w14:textId="77777777" w:rsidR="00D91358" w:rsidRPr="006A3F97" w:rsidRDefault="00D91358" w:rsidP="006A3F97">
            <w:pPr>
              <w:spacing w:after="0" w:line="240" w:lineRule="auto"/>
              <w:ind w:left="0" w:firstLine="0"/>
              <w:jc w:val="center"/>
              <w:rPr>
                <w:b/>
                <w:bCs/>
                <w:szCs w:val="24"/>
              </w:rPr>
            </w:pPr>
          </w:p>
        </w:tc>
        <w:tc>
          <w:tcPr>
            <w:tcW w:w="2349" w:type="dxa"/>
            <w:tcBorders>
              <w:top w:val="nil"/>
              <w:left w:val="nil"/>
              <w:bottom w:val="single" w:sz="8" w:space="0" w:color="000000"/>
              <w:right w:val="single" w:sz="8" w:space="0" w:color="000000"/>
            </w:tcBorders>
            <w:shd w:val="clear" w:color="auto" w:fill="auto"/>
            <w:vAlign w:val="center"/>
          </w:tcPr>
          <w:p w14:paraId="7BA7C8EE" w14:textId="4C4545BB" w:rsidR="00D91358" w:rsidRDefault="00B03669" w:rsidP="006A3F97">
            <w:pPr>
              <w:spacing w:after="0" w:line="240" w:lineRule="auto"/>
              <w:ind w:left="0" w:firstLine="0"/>
              <w:jc w:val="center"/>
              <w:rPr>
                <w:szCs w:val="24"/>
              </w:rPr>
            </w:pPr>
            <w:r>
              <w:rPr>
                <w:szCs w:val="24"/>
              </w:rPr>
              <w:t>Casos mensais de leptospirose por município</w:t>
            </w:r>
          </w:p>
        </w:tc>
        <w:tc>
          <w:tcPr>
            <w:tcW w:w="1620" w:type="dxa"/>
            <w:tcBorders>
              <w:top w:val="nil"/>
              <w:left w:val="nil"/>
              <w:bottom w:val="single" w:sz="8" w:space="0" w:color="000000"/>
              <w:right w:val="single" w:sz="8" w:space="0" w:color="000000"/>
            </w:tcBorders>
            <w:shd w:val="clear" w:color="auto" w:fill="auto"/>
            <w:vAlign w:val="center"/>
          </w:tcPr>
          <w:p w14:paraId="6ED44A45" w14:textId="79CF1F4B" w:rsidR="00D91358" w:rsidRDefault="004C40A9" w:rsidP="006A3F97">
            <w:pPr>
              <w:spacing w:after="0" w:line="240" w:lineRule="auto"/>
              <w:ind w:left="0" w:firstLine="0"/>
              <w:jc w:val="center"/>
            </w:pPr>
            <w:hyperlink r:id="rId14" w:history="1">
              <w:r w:rsidR="0052315E" w:rsidRPr="0052315E">
                <w:rPr>
                  <w:rStyle w:val="Hyperlink"/>
                </w:rPr>
                <w:t>CEVS</w:t>
              </w:r>
            </w:hyperlink>
          </w:p>
        </w:tc>
        <w:tc>
          <w:tcPr>
            <w:tcW w:w="1830" w:type="dxa"/>
            <w:tcBorders>
              <w:top w:val="nil"/>
              <w:left w:val="nil"/>
              <w:bottom w:val="single" w:sz="8" w:space="0" w:color="000000"/>
              <w:right w:val="single" w:sz="8" w:space="0" w:color="000000"/>
            </w:tcBorders>
            <w:shd w:val="clear" w:color="auto" w:fill="auto"/>
            <w:vAlign w:val="center"/>
          </w:tcPr>
          <w:p w14:paraId="613223FD" w14:textId="47C0613D" w:rsidR="00D91358" w:rsidRDefault="0084623E" w:rsidP="006A3F97">
            <w:pPr>
              <w:spacing w:after="0" w:line="240" w:lineRule="auto"/>
              <w:ind w:left="0" w:firstLine="0"/>
              <w:jc w:val="center"/>
              <w:rPr>
                <w:szCs w:val="24"/>
              </w:rPr>
            </w:pPr>
            <w:r>
              <w:rPr>
                <w:szCs w:val="24"/>
              </w:rPr>
              <w:t>1999-2024</w:t>
            </w:r>
          </w:p>
        </w:tc>
        <w:tc>
          <w:tcPr>
            <w:tcW w:w="1859" w:type="dxa"/>
            <w:tcBorders>
              <w:top w:val="nil"/>
              <w:left w:val="nil"/>
              <w:bottom w:val="single" w:sz="8" w:space="0" w:color="000000"/>
              <w:right w:val="single" w:sz="8" w:space="0" w:color="auto"/>
            </w:tcBorders>
            <w:shd w:val="clear" w:color="auto" w:fill="auto"/>
            <w:vAlign w:val="center"/>
          </w:tcPr>
          <w:p w14:paraId="5B9B828A" w14:textId="3F6E07EF" w:rsidR="00D91358" w:rsidRDefault="0084623E" w:rsidP="006A3F97">
            <w:pPr>
              <w:spacing w:after="0" w:line="240" w:lineRule="auto"/>
              <w:ind w:left="0" w:firstLine="0"/>
              <w:jc w:val="center"/>
              <w:rPr>
                <w:szCs w:val="24"/>
              </w:rPr>
            </w:pPr>
            <w:r>
              <w:rPr>
                <w:szCs w:val="24"/>
              </w:rPr>
              <w:t>Tabela</w:t>
            </w:r>
          </w:p>
        </w:tc>
        <w:tc>
          <w:tcPr>
            <w:tcW w:w="146" w:type="dxa"/>
            <w:vAlign w:val="center"/>
          </w:tcPr>
          <w:p w14:paraId="77EBDBF8" w14:textId="77777777" w:rsidR="00D91358" w:rsidRPr="006A3F97" w:rsidRDefault="00D91358" w:rsidP="006A3F97">
            <w:pPr>
              <w:spacing w:after="0" w:line="240" w:lineRule="auto"/>
              <w:ind w:left="0" w:firstLine="0"/>
              <w:jc w:val="left"/>
              <w:rPr>
                <w:color w:val="auto"/>
                <w:sz w:val="20"/>
                <w:szCs w:val="20"/>
              </w:rPr>
            </w:pPr>
          </w:p>
        </w:tc>
      </w:tr>
      <w:tr w:rsidR="00B34B27" w:rsidRPr="006A3F97" w14:paraId="0672D2A7" w14:textId="77777777" w:rsidTr="00B60075">
        <w:trPr>
          <w:trHeight w:val="960"/>
        </w:trPr>
        <w:tc>
          <w:tcPr>
            <w:tcW w:w="1536" w:type="dxa"/>
            <w:vMerge w:val="restart"/>
            <w:tcBorders>
              <w:top w:val="nil"/>
              <w:left w:val="single" w:sz="8" w:space="0" w:color="auto"/>
              <w:right w:val="single" w:sz="8" w:space="0" w:color="000000"/>
            </w:tcBorders>
            <w:shd w:val="clear" w:color="000000" w:fill="E7E6E6"/>
            <w:vAlign w:val="center"/>
            <w:hideMark/>
          </w:tcPr>
          <w:p w14:paraId="2DCDDB6A" w14:textId="77777777" w:rsidR="00B34B27" w:rsidRPr="006A3F97" w:rsidRDefault="00B34B27" w:rsidP="006A3F97">
            <w:pPr>
              <w:spacing w:after="0" w:line="240" w:lineRule="auto"/>
              <w:ind w:left="0" w:firstLine="0"/>
              <w:jc w:val="center"/>
              <w:rPr>
                <w:b/>
                <w:bCs/>
                <w:szCs w:val="24"/>
              </w:rPr>
            </w:pPr>
            <w:r w:rsidRPr="006A3F97">
              <w:rPr>
                <w:b/>
                <w:bCs/>
                <w:szCs w:val="24"/>
              </w:rPr>
              <w:t>Ambiente</w:t>
            </w:r>
          </w:p>
        </w:tc>
        <w:tc>
          <w:tcPr>
            <w:tcW w:w="2349" w:type="dxa"/>
            <w:tcBorders>
              <w:top w:val="nil"/>
              <w:left w:val="nil"/>
              <w:bottom w:val="single" w:sz="8" w:space="0" w:color="000000"/>
              <w:right w:val="single" w:sz="8" w:space="0" w:color="000000"/>
            </w:tcBorders>
            <w:shd w:val="clear" w:color="auto" w:fill="auto"/>
            <w:vAlign w:val="center"/>
            <w:hideMark/>
          </w:tcPr>
          <w:p w14:paraId="4D674667" w14:textId="1ABC48DF" w:rsidR="00B34B27" w:rsidRPr="006A3F97" w:rsidRDefault="00B34B27" w:rsidP="006A3F97">
            <w:pPr>
              <w:spacing w:after="0" w:line="240" w:lineRule="auto"/>
              <w:ind w:left="0" w:firstLine="0"/>
              <w:jc w:val="center"/>
              <w:rPr>
                <w:szCs w:val="24"/>
              </w:rPr>
            </w:pPr>
            <w:r>
              <w:rPr>
                <w:szCs w:val="24"/>
              </w:rPr>
              <w:t>Elevação e Declividade média por município</w:t>
            </w:r>
          </w:p>
        </w:tc>
        <w:tc>
          <w:tcPr>
            <w:tcW w:w="1620" w:type="dxa"/>
            <w:tcBorders>
              <w:top w:val="nil"/>
              <w:left w:val="nil"/>
              <w:bottom w:val="single" w:sz="8" w:space="0" w:color="000000"/>
              <w:right w:val="single" w:sz="8" w:space="0" w:color="000000"/>
            </w:tcBorders>
            <w:shd w:val="clear" w:color="auto" w:fill="auto"/>
            <w:vAlign w:val="center"/>
            <w:hideMark/>
          </w:tcPr>
          <w:p w14:paraId="0E04AF8B" w14:textId="01B465E5" w:rsidR="00B34B27" w:rsidRPr="006A3F97" w:rsidRDefault="004C40A9" w:rsidP="006A3F97">
            <w:pPr>
              <w:spacing w:after="0" w:line="240" w:lineRule="auto"/>
              <w:ind w:left="0" w:firstLine="0"/>
              <w:jc w:val="center"/>
              <w:rPr>
                <w:szCs w:val="24"/>
              </w:rPr>
            </w:pPr>
            <w:hyperlink r:id="rId15" w:history="1">
              <w:proofErr w:type="spellStart"/>
              <w:r w:rsidR="00B34B27" w:rsidRPr="00D43D7C">
                <w:rPr>
                  <w:rStyle w:val="Hyperlink"/>
                  <w:szCs w:val="24"/>
                </w:rPr>
                <w:t>TopoData</w:t>
              </w:r>
              <w:proofErr w:type="spellEnd"/>
            </w:hyperlink>
          </w:p>
        </w:tc>
        <w:tc>
          <w:tcPr>
            <w:tcW w:w="1830" w:type="dxa"/>
            <w:tcBorders>
              <w:top w:val="nil"/>
              <w:left w:val="nil"/>
              <w:bottom w:val="single" w:sz="8" w:space="0" w:color="000000"/>
              <w:right w:val="single" w:sz="8" w:space="0" w:color="000000"/>
            </w:tcBorders>
            <w:shd w:val="clear" w:color="auto" w:fill="auto"/>
            <w:vAlign w:val="center"/>
            <w:hideMark/>
          </w:tcPr>
          <w:p w14:paraId="64CF1DF8" w14:textId="4F74FCB0" w:rsidR="00B34B27" w:rsidRPr="006A3F97" w:rsidRDefault="00B34B27" w:rsidP="006A3F97">
            <w:pPr>
              <w:spacing w:after="0" w:line="240" w:lineRule="auto"/>
              <w:ind w:left="0" w:firstLine="0"/>
              <w:jc w:val="center"/>
              <w:rPr>
                <w:szCs w:val="24"/>
              </w:rPr>
            </w:pPr>
            <w:r>
              <w:rPr>
                <w:szCs w:val="24"/>
              </w:rPr>
              <w:t>2011</w:t>
            </w:r>
          </w:p>
        </w:tc>
        <w:tc>
          <w:tcPr>
            <w:tcW w:w="1859" w:type="dxa"/>
            <w:tcBorders>
              <w:top w:val="nil"/>
              <w:left w:val="nil"/>
              <w:bottom w:val="single" w:sz="8" w:space="0" w:color="000000"/>
              <w:right w:val="single" w:sz="8" w:space="0" w:color="auto"/>
            </w:tcBorders>
            <w:shd w:val="clear" w:color="auto" w:fill="auto"/>
            <w:vAlign w:val="center"/>
            <w:hideMark/>
          </w:tcPr>
          <w:p w14:paraId="78BD8EF4" w14:textId="77777777" w:rsidR="00B34B27" w:rsidRPr="006A3F97" w:rsidRDefault="00B34B27" w:rsidP="006A3F97">
            <w:pPr>
              <w:spacing w:after="0" w:line="240" w:lineRule="auto"/>
              <w:ind w:left="0" w:firstLine="0"/>
              <w:jc w:val="center"/>
              <w:rPr>
                <w:szCs w:val="24"/>
              </w:rPr>
            </w:pPr>
            <w:proofErr w:type="spellStart"/>
            <w:r w:rsidRPr="006A3F97">
              <w:rPr>
                <w:szCs w:val="24"/>
              </w:rPr>
              <w:t>Raster</w:t>
            </w:r>
            <w:proofErr w:type="spellEnd"/>
            <w:r w:rsidRPr="006A3F97">
              <w:rPr>
                <w:szCs w:val="24"/>
              </w:rPr>
              <w:t xml:space="preserve"> (30m) </w:t>
            </w:r>
          </w:p>
        </w:tc>
        <w:tc>
          <w:tcPr>
            <w:tcW w:w="146" w:type="dxa"/>
            <w:vAlign w:val="center"/>
            <w:hideMark/>
          </w:tcPr>
          <w:p w14:paraId="1B221B02" w14:textId="77777777" w:rsidR="00B34B27" w:rsidRPr="006A3F97" w:rsidRDefault="00B34B27" w:rsidP="006A3F97">
            <w:pPr>
              <w:spacing w:after="0" w:line="240" w:lineRule="auto"/>
              <w:ind w:left="0" w:firstLine="0"/>
              <w:jc w:val="left"/>
              <w:rPr>
                <w:color w:val="auto"/>
                <w:sz w:val="20"/>
                <w:szCs w:val="20"/>
              </w:rPr>
            </w:pPr>
          </w:p>
        </w:tc>
      </w:tr>
      <w:tr w:rsidR="00B34B27" w:rsidRPr="006A3F97" w14:paraId="1D4AF649" w14:textId="77777777" w:rsidTr="00951D42">
        <w:trPr>
          <w:trHeight w:val="960"/>
        </w:trPr>
        <w:tc>
          <w:tcPr>
            <w:tcW w:w="1536" w:type="dxa"/>
            <w:vMerge/>
            <w:tcBorders>
              <w:left w:val="single" w:sz="8" w:space="0" w:color="auto"/>
              <w:right w:val="single" w:sz="8" w:space="0" w:color="000000"/>
            </w:tcBorders>
            <w:vAlign w:val="center"/>
            <w:hideMark/>
          </w:tcPr>
          <w:p w14:paraId="7E08099C" w14:textId="77777777" w:rsidR="00B34B27" w:rsidRPr="006A3F97" w:rsidRDefault="00B34B27" w:rsidP="006A3F97">
            <w:pPr>
              <w:spacing w:after="0" w:line="240" w:lineRule="auto"/>
              <w:ind w:left="0" w:firstLine="0"/>
              <w:jc w:val="left"/>
              <w:rPr>
                <w:b/>
                <w:bCs/>
                <w:szCs w:val="24"/>
              </w:rPr>
            </w:pPr>
          </w:p>
        </w:tc>
        <w:tc>
          <w:tcPr>
            <w:tcW w:w="2349" w:type="dxa"/>
            <w:tcBorders>
              <w:top w:val="nil"/>
              <w:left w:val="nil"/>
              <w:bottom w:val="single" w:sz="4" w:space="0" w:color="auto"/>
              <w:right w:val="single" w:sz="8" w:space="0" w:color="000000"/>
            </w:tcBorders>
            <w:shd w:val="clear" w:color="auto" w:fill="auto"/>
            <w:vAlign w:val="center"/>
            <w:hideMark/>
          </w:tcPr>
          <w:p w14:paraId="1565A7AD" w14:textId="19CA8E0C" w:rsidR="00B34B27" w:rsidRPr="006A3F97" w:rsidRDefault="00B34B27" w:rsidP="006A3F97">
            <w:pPr>
              <w:spacing w:after="0" w:line="240" w:lineRule="auto"/>
              <w:ind w:left="0" w:firstLine="0"/>
              <w:jc w:val="center"/>
              <w:rPr>
                <w:szCs w:val="24"/>
              </w:rPr>
            </w:pPr>
            <w:r>
              <w:rPr>
                <w:szCs w:val="24"/>
              </w:rPr>
              <w:t>Precipitação</w:t>
            </w:r>
            <w:r w:rsidRPr="006A3F97">
              <w:rPr>
                <w:szCs w:val="24"/>
              </w:rPr>
              <w:t xml:space="preserve"> </w:t>
            </w:r>
            <w:r>
              <w:rPr>
                <w:szCs w:val="24"/>
              </w:rPr>
              <w:t>mensal por município</w:t>
            </w:r>
          </w:p>
        </w:tc>
        <w:tc>
          <w:tcPr>
            <w:tcW w:w="1620" w:type="dxa"/>
            <w:tcBorders>
              <w:top w:val="nil"/>
              <w:left w:val="nil"/>
              <w:bottom w:val="single" w:sz="8" w:space="0" w:color="000000"/>
              <w:right w:val="single" w:sz="8" w:space="0" w:color="000000"/>
            </w:tcBorders>
            <w:shd w:val="clear" w:color="auto" w:fill="auto"/>
            <w:vAlign w:val="center"/>
            <w:hideMark/>
          </w:tcPr>
          <w:p w14:paraId="77DE5104" w14:textId="1C96A67E" w:rsidR="00B34B27" w:rsidRPr="006A3F97" w:rsidRDefault="004C40A9" w:rsidP="006A3F97">
            <w:pPr>
              <w:spacing w:after="0" w:line="240" w:lineRule="auto"/>
              <w:ind w:left="0" w:firstLine="0"/>
              <w:jc w:val="center"/>
              <w:rPr>
                <w:color w:val="0563C1"/>
                <w:szCs w:val="24"/>
                <w:u w:val="single"/>
              </w:rPr>
            </w:pPr>
            <w:hyperlink r:id="rId16" w:history="1">
              <w:r w:rsidR="00B34B27" w:rsidRPr="00ED23BE">
                <w:rPr>
                  <w:rStyle w:val="Hyperlink"/>
                  <w:szCs w:val="24"/>
                </w:rPr>
                <w:t>CHIRPS</w:t>
              </w:r>
            </w:hyperlink>
          </w:p>
        </w:tc>
        <w:tc>
          <w:tcPr>
            <w:tcW w:w="1830" w:type="dxa"/>
            <w:tcBorders>
              <w:top w:val="nil"/>
              <w:left w:val="nil"/>
              <w:bottom w:val="single" w:sz="8" w:space="0" w:color="000000"/>
              <w:right w:val="single" w:sz="8" w:space="0" w:color="000000"/>
            </w:tcBorders>
            <w:shd w:val="clear" w:color="auto" w:fill="auto"/>
            <w:vAlign w:val="center"/>
            <w:hideMark/>
          </w:tcPr>
          <w:p w14:paraId="2E246B1E" w14:textId="5820F71F" w:rsidR="00B34B27" w:rsidRDefault="00B34B27" w:rsidP="002B1054">
            <w:pPr>
              <w:spacing w:after="0" w:line="240" w:lineRule="auto"/>
              <w:ind w:left="0" w:firstLine="0"/>
              <w:jc w:val="center"/>
              <w:rPr>
                <w:szCs w:val="24"/>
              </w:rPr>
            </w:pPr>
            <w:r>
              <w:rPr>
                <w:szCs w:val="24"/>
              </w:rPr>
              <w:t>1999-2024</w:t>
            </w:r>
          </w:p>
          <w:p w14:paraId="26D6F6FF" w14:textId="296BF861" w:rsidR="00B34B27" w:rsidRPr="002B1054" w:rsidRDefault="00B34B27" w:rsidP="002B1054">
            <w:pPr>
              <w:rPr>
                <w:szCs w:val="24"/>
              </w:rPr>
            </w:pPr>
          </w:p>
        </w:tc>
        <w:tc>
          <w:tcPr>
            <w:tcW w:w="1859" w:type="dxa"/>
            <w:tcBorders>
              <w:top w:val="nil"/>
              <w:left w:val="nil"/>
              <w:bottom w:val="single" w:sz="8" w:space="0" w:color="000000"/>
              <w:right w:val="single" w:sz="8" w:space="0" w:color="auto"/>
            </w:tcBorders>
            <w:shd w:val="clear" w:color="auto" w:fill="auto"/>
            <w:vAlign w:val="center"/>
            <w:hideMark/>
          </w:tcPr>
          <w:p w14:paraId="1FCE67E2" w14:textId="580B513E" w:rsidR="00B34B27" w:rsidRPr="006A3F97" w:rsidRDefault="00B34B27" w:rsidP="006A3F97">
            <w:pPr>
              <w:spacing w:after="0" w:line="240" w:lineRule="auto"/>
              <w:ind w:left="0" w:firstLine="0"/>
              <w:jc w:val="center"/>
              <w:rPr>
                <w:szCs w:val="24"/>
              </w:rPr>
            </w:pPr>
            <w:proofErr w:type="spellStart"/>
            <w:r w:rsidRPr="006A3F97">
              <w:rPr>
                <w:szCs w:val="24"/>
              </w:rPr>
              <w:t>Raster</w:t>
            </w:r>
            <w:proofErr w:type="spellEnd"/>
            <w:r w:rsidRPr="006A3F97">
              <w:rPr>
                <w:szCs w:val="24"/>
              </w:rPr>
              <w:t xml:space="preserve"> (</w:t>
            </w:r>
            <w:r>
              <w:rPr>
                <w:szCs w:val="24"/>
              </w:rPr>
              <w:t>0,05º</w:t>
            </w:r>
            <w:r w:rsidRPr="006A3F97">
              <w:rPr>
                <w:szCs w:val="24"/>
              </w:rPr>
              <w:t>)</w:t>
            </w:r>
          </w:p>
        </w:tc>
        <w:tc>
          <w:tcPr>
            <w:tcW w:w="146" w:type="dxa"/>
            <w:vAlign w:val="center"/>
            <w:hideMark/>
          </w:tcPr>
          <w:p w14:paraId="4C741B5F" w14:textId="77777777" w:rsidR="00B34B27" w:rsidRPr="006A3F97" w:rsidRDefault="00B34B27" w:rsidP="006A3F97">
            <w:pPr>
              <w:spacing w:after="0" w:line="240" w:lineRule="auto"/>
              <w:ind w:left="0" w:firstLine="0"/>
              <w:jc w:val="left"/>
              <w:rPr>
                <w:color w:val="auto"/>
                <w:sz w:val="20"/>
                <w:szCs w:val="20"/>
              </w:rPr>
            </w:pPr>
          </w:p>
        </w:tc>
      </w:tr>
      <w:tr w:rsidR="00B34B27" w:rsidRPr="006A3F97" w14:paraId="3A9A1E7D" w14:textId="77777777" w:rsidTr="002A03F2">
        <w:trPr>
          <w:trHeight w:val="960"/>
        </w:trPr>
        <w:tc>
          <w:tcPr>
            <w:tcW w:w="1536" w:type="dxa"/>
            <w:vMerge/>
            <w:tcBorders>
              <w:left w:val="single" w:sz="8" w:space="0" w:color="auto"/>
              <w:right w:val="single" w:sz="8" w:space="0" w:color="000000"/>
            </w:tcBorders>
            <w:vAlign w:val="center"/>
          </w:tcPr>
          <w:p w14:paraId="12828E15" w14:textId="77777777" w:rsidR="00B34B27" w:rsidRPr="006A3F97" w:rsidRDefault="00B34B27" w:rsidP="006A3F97">
            <w:pPr>
              <w:spacing w:after="0" w:line="240" w:lineRule="auto"/>
              <w:ind w:left="0" w:firstLine="0"/>
              <w:jc w:val="left"/>
              <w:rPr>
                <w:b/>
                <w:bCs/>
                <w:szCs w:val="24"/>
              </w:rPr>
            </w:pPr>
          </w:p>
        </w:tc>
        <w:tc>
          <w:tcPr>
            <w:tcW w:w="2349" w:type="dxa"/>
            <w:tcBorders>
              <w:top w:val="single" w:sz="4" w:space="0" w:color="auto"/>
              <w:left w:val="nil"/>
              <w:bottom w:val="nil"/>
              <w:right w:val="single" w:sz="8" w:space="0" w:color="000000"/>
            </w:tcBorders>
            <w:shd w:val="clear" w:color="auto" w:fill="auto"/>
            <w:vAlign w:val="center"/>
          </w:tcPr>
          <w:p w14:paraId="359182BD" w14:textId="4060EE7D" w:rsidR="00B34B27" w:rsidRPr="006A3F97" w:rsidRDefault="00B34B27" w:rsidP="006A3F97">
            <w:pPr>
              <w:spacing w:after="0" w:line="240" w:lineRule="auto"/>
              <w:ind w:left="0" w:firstLine="0"/>
              <w:jc w:val="center"/>
              <w:rPr>
                <w:szCs w:val="24"/>
              </w:rPr>
            </w:pPr>
            <w:r>
              <w:rPr>
                <w:szCs w:val="24"/>
              </w:rPr>
              <w:t>Eventos de inundações por mês</w:t>
            </w:r>
          </w:p>
        </w:tc>
        <w:tc>
          <w:tcPr>
            <w:tcW w:w="1620" w:type="dxa"/>
            <w:tcBorders>
              <w:top w:val="nil"/>
              <w:left w:val="nil"/>
              <w:bottom w:val="single" w:sz="8" w:space="0" w:color="000000"/>
              <w:right w:val="single" w:sz="8" w:space="0" w:color="000000"/>
            </w:tcBorders>
            <w:shd w:val="clear" w:color="auto" w:fill="auto"/>
            <w:vAlign w:val="center"/>
          </w:tcPr>
          <w:p w14:paraId="2A514E99" w14:textId="30E24D89" w:rsidR="00B34B27" w:rsidRDefault="004C40A9" w:rsidP="006A3F97">
            <w:pPr>
              <w:spacing w:after="0" w:line="240" w:lineRule="auto"/>
              <w:ind w:left="0" w:firstLine="0"/>
              <w:jc w:val="center"/>
            </w:pPr>
            <w:hyperlink r:id="rId17" w:history="1">
              <w:r w:rsidR="00B34B27" w:rsidRPr="00D85F76">
                <w:rPr>
                  <w:rStyle w:val="Hyperlink"/>
                </w:rPr>
                <w:t>S2iD</w:t>
              </w:r>
            </w:hyperlink>
          </w:p>
        </w:tc>
        <w:tc>
          <w:tcPr>
            <w:tcW w:w="1830" w:type="dxa"/>
            <w:tcBorders>
              <w:top w:val="nil"/>
              <w:left w:val="nil"/>
              <w:bottom w:val="single" w:sz="8" w:space="0" w:color="000000"/>
              <w:right w:val="single" w:sz="8" w:space="0" w:color="000000"/>
            </w:tcBorders>
            <w:shd w:val="clear" w:color="auto" w:fill="auto"/>
            <w:vAlign w:val="center"/>
          </w:tcPr>
          <w:p w14:paraId="0C41176E" w14:textId="0693F950" w:rsidR="00B34B27" w:rsidRPr="006A3F97" w:rsidRDefault="00B34B27" w:rsidP="006A3F97">
            <w:pPr>
              <w:spacing w:after="0" w:line="240" w:lineRule="auto"/>
              <w:ind w:left="0" w:firstLine="0"/>
              <w:jc w:val="center"/>
              <w:rPr>
                <w:szCs w:val="24"/>
              </w:rPr>
            </w:pPr>
            <w:r>
              <w:rPr>
                <w:szCs w:val="24"/>
              </w:rPr>
              <w:t>1999-2024</w:t>
            </w:r>
          </w:p>
        </w:tc>
        <w:tc>
          <w:tcPr>
            <w:tcW w:w="1859" w:type="dxa"/>
            <w:tcBorders>
              <w:top w:val="nil"/>
              <w:left w:val="nil"/>
              <w:bottom w:val="single" w:sz="8" w:space="0" w:color="000000"/>
              <w:right w:val="single" w:sz="8" w:space="0" w:color="auto"/>
            </w:tcBorders>
            <w:shd w:val="clear" w:color="auto" w:fill="auto"/>
            <w:vAlign w:val="center"/>
          </w:tcPr>
          <w:p w14:paraId="382C9441" w14:textId="02C94D98" w:rsidR="00B34B27" w:rsidRPr="006A3F97" w:rsidRDefault="00B34B27" w:rsidP="006A3F97">
            <w:pPr>
              <w:spacing w:after="0" w:line="240" w:lineRule="auto"/>
              <w:ind w:left="0" w:firstLine="0"/>
              <w:jc w:val="center"/>
              <w:rPr>
                <w:szCs w:val="24"/>
              </w:rPr>
            </w:pPr>
            <w:r>
              <w:rPr>
                <w:szCs w:val="24"/>
              </w:rPr>
              <w:t>Tabela</w:t>
            </w:r>
          </w:p>
        </w:tc>
        <w:tc>
          <w:tcPr>
            <w:tcW w:w="146" w:type="dxa"/>
            <w:vAlign w:val="center"/>
          </w:tcPr>
          <w:p w14:paraId="21404B6B" w14:textId="77777777" w:rsidR="00B34B27" w:rsidRPr="006A3F97" w:rsidRDefault="00B34B27" w:rsidP="006A3F97">
            <w:pPr>
              <w:spacing w:after="0" w:line="240" w:lineRule="auto"/>
              <w:ind w:left="0" w:firstLine="0"/>
              <w:jc w:val="left"/>
              <w:rPr>
                <w:color w:val="auto"/>
                <w:sz w:val="20"/>
                <w:szCs w:val="20"/>
              </w:rPr>
            </w:pPr>
          </w:p>
        </w:tc>
      </w:tr>
      <w:tr w:rsidR="00B34B27" w:rsidRPr="006A3F97" w14:paraId="5F406CB2" w14:textId="77777777" w:rsidTr="00125C28">
        <w:trPr>
          <w:trHeight w:val="960"/>
        </w:trPr>
        <w:tc>
          <w:tcPr>
            <w:tcW w:w="1536" w:type="dxa"/>
            <w:vMerge/>
            <w:tcBorders>
              <w:left w:val="single" w:sz="8" w:space="0" w:color="auto"/>
              <w:right w:val="single" w:sz="8" w:space="0" w:color="000000"/>
            </w:tcBorders>
            <w:vAlign w:val="center"/>
          </w:tcPr>
          <w:p w14:paraId="2FFF38F8" w14:textId="77777777" w:rsidR="00B34B27" w:rsidRPr="006A3F97" w:rsidRDefault="00B34B27" w:rsidP="006A3F97">
            <w:pPr>
              <w:spacing w:after="0" w:line="240" w:lineRule="auto"/>
              <w:ind w:left="0" w:firstLine="0"/>
              <w:jc w:val="left"/>
              <w:rPr>
                <w:b/>
                <w:bCs/>
                <w:szCs w:val="24"/>
              </w:rPr>
            </w:pPr>
          </w:p>
        </w:tc>
        <w:tc>
          <w:tcPr>
            <w:tcW w:w="2349" w:type="dxa"/>
            <w:tcBorders>
              <w:top w:val="single" w:sz="4" w:space="0" w:color="auto"/>
              <w:left w:val="nil"/>
              <w:bottom w:val="nil"/>
              <w:right w:val="single" w:sz="8" w:space="0" w:color="000000"/>
            </w:tcBorders>
            <w:shd w:val="clear" w:color="auto" w:fill="auto"/>
            <w:vAlign w:val="center"/>
          </w:tcPr>
          <w:p w14:paraId="6D395796" w14:textId="34454FB4" w:rsidR="00B34B27" w:rsidRDefault="00B34B27" w:rsidP="006A3F97">
            <w:pPr>
              <w:spacing w:after="0" w:line="240" w:lineRule="auto"/>
              <w:ind w:left="0" w:firstLine="0"/>
              <w:jc w:val="center"/>
              <w:rPr>
                <w:szCs w:val="24"/>
              </w:rPr>
            </w:pPr>
            <w:r>
              <w:rPr>
                <w:szCs w:val="24"/>
              </w:rPr>
              <w:t>Área inundada pelas enchentes de 2024</w:t>
            </w:r>
          </w:p>
        </w:tc>
        <w:tc>
          <w:tcPr>
            <w:tcW w:w="1620" w:type="dxa"/>
            <w:tcBorders>
              <w:top w:val="nil"/>
              <w:left w:val="nil"/>
              <w:bottom w:val="single" w:sz="8" w:space="0" w:color="000000"/>
              <w:right w:val="single" w:sz="8" w:space="0" w:color="000000"/>
            </w:tcBorders>
            <w:shd w:val="clear" w:color="auto" w:fill="auto"/>
            <w:vAlign w:val="center"/>
          </w:tcPr>
          <w:p w14:paraId="4BE1F8FF" w14:textId="76E3B84F" w:rsidR="00B34B27" w:rsidRDefault="00E74DC8" w:rsidP="006A3F97">
            <w:pPr>
              <w:spacing w:after="0" w:line="240" w:lineRule="auto"/>
              <w:ind w:left="0" w:firstLine="0"/>
              <w:jc w:val="center"/>
            </w:pPr>
            <w:r w:rsidRPr="00E74DC8">
              <w:rPr>
                <w:highlight w:val="yellow"/>
              </w:rPr>
              <w:t>A DEFINIR</w:t>
            </w:r>
          </w:p>
        </w:tc>
        <w:tc>
          <w:tcPr>
            <w:tcW w:w="1830" w:type="dxa"/>
            <w:tcBorders>
              <w:top w:val="nil"/>
              <w:left w:val="nil"/>
              <w:bottom w:val="single" w:sz="8" w:space="0" w:color="000000"/>
              <w:right w:val="single" w:sz="8" w:space="0" w:color="000000"/>
            </w:tcBorders>
            <w:shd w:val="clear" w:color="auto" w:fill="auto"/>
            <w:vAlign w:val="center"/>
          </w:tcPr>
          <w:p w14:paraId="371A30DE" w14:textId="566BA361" w:rsidR="00B34B27" w:rsidRDefault="00B34B27" w:rsidP="006A3F97">
            <w:pPr>
              <w:spacing w:after="0" w:line="240" w:lineRule="auto"/>
              <w:ind w:left="0" w:firstLine="0"/>
              <w:jc w:val="center"/>
              <w:rPr>
                <w:szCs w:val="24"/>
              </w:rPr>
            </w:pPr>
            <w:r>
              <w:rPr>
                <w:szCs w:val="24"/>
              </w:rPr>
              <w:t>2024</w:t>
            </w:r>
          </w:p>
        </w:tc>
        <w:tc>
          <w:tcPr>
            <w:tcW w:w="1859" w:type="dxa"/>
            <w:tcBorders>
              <w:top w:val="nil"/>
              <w:left w:val="nil"/>
              <w:bottom w:val="single" w:sz="8" w:space="0" w:color="000000"/>
              <w:right w:val="single" w:sz="8" w:space="0" w:color="auto"/>
            </w:tcBorders>
            <w:shd w:val="clear" w:color="auto" w:fill="auto"/>
            <w:vAlign w:val="center"/>
          </w:tcPr>
          <w:p w14:paraId="02D19383" w14:textId="30106225" w:rsidR="00B34B27" w:rsidRDefault="00580DCC" w:rsidP="006A3F97">
            <w:pPr>
              <w:spacing w:after="0" w:line="240" w:lineRule="auto"/>
              <w:ind w:left="0" w:firstLine="0"/>
              <w:jc w:val="center"/>
              <w:rPr>
                <w:szCs w:val="24"/>
              </w:rPr>
            </w:pPr>
            <w:r>
              <w:rPr>
                <w:szCs w:val="24"/>
              </w:rPr>
              <w:t>Vetor (Polígono)</w:t>
            </w:r>
          </w:p>
        </w:tc>
        <w:tc>
          <w:tcPr>
            <w:tcW w:w="146" w:type="dxa"/>
            <w:vAlign w:val="center"/>
          </w:tcPr>
          <w:p w14:paraId="3D14BA6B" w14:textId="77777777" w:rsidR="00B34B27" w:rsidRPr="006A3F97" w:rsidRDefault="00B34B27" w:rsidP="006A3F97">
            <w:pPr>
              <w:spacing w:after="0" w:line="240" w:lineRule="auto"/>
              <w:ind w:left="0" w:firstLine="0"/>
              <w:jc w:val="left"/>
              <w:rPr>
                <w:color w:val="auto"/>
                <w:sz w:val="20"/>
                <w:szCs w:val="20"/>
              </w:rPr>
            </w:pPr>
          </w:p>
        </w:tc>
      </w:tr>
      <w:tr w:rsidR="00A81534" w:rsidRPr="006A3F97" w14:paraId="0D20B451" w14:textId="77777777" w:rsidTr="00125C28">
        <w:trPr>
          <w:trHeight w:val="960"/>
        </w:trPr>
        <w:tc>
          <w:tcPr>
            <w:tcW w:w="1536" w:type="dxa"/>
            <w:vMerge/>
            <w:tcBorders>
              <w:left w:val="single" w:sz="8" w:space="0" w:color="auto"/>
              <w:right w:val="single" w:sz="8" w:space="0" w:color="000000"/>
            </w:tcBorders>
            <w:vAlign w:val="center"/>
          </w:tcPr>
          <w:p w14:paraId="69F815EC" w14:textId="77777777" w:rsidR="00A81534" w:rsidRPr="006A3F97" w:rsidRDefault="00A81534" w:rsidP="006A3F97">
            <w:pPr>
              <w:spacing w:after="0" w:line="240" w:lineRule="auto"/>
              <w:ind w:left="0" w:firstLine="0"/>
              <w:jc w:val="left"/>
              <w:rPr>
                <w:b/>
                <w:bCs/>
                <w:szCs w:val="24"/>
              </w:rPr>
            </w:pPr>
          </w:p>
        </w:tc>
        <w:tc>
          <w:tcPr>
            <w:tcW w:w="2349" w:type="dxa"/>
            <w:tcBorders>
              <w:top w:val="single" w:sz="4" w:space="0" w:color="auto"/>
              <w:left w:val="nil"/>
              <w:bottom w:val="nil"/>
              <w:right w:val="single" w:sz="8" w:space="0" w:color="000000"/>
            </w:tcBorders>
            <w:shd w:val="clear" w:color="auto" w:fill="auto"/>
            <w:vAlign w:val="center"/>
          </w:tcPr>
          <w:p w14:paraId="6D6DE469" w14:textId="0E7E1210" w:rsidR="00A81534" w:rsidRDefault="007532F6" w:rsidP="006A3F97">
            <w:pPr>
              <w:spacing w:after="0" w:line="240" w:lineRule="auto"/>
              <w:ind w:left="0" w:firstLine="0"/>
              <w:jc w:val="center"/>
              <w:rPr>
                <w:szCs w:val="24"/>
              </w:rPr>
            </w:pPr>
            <w:r>
              <w:rPr>
                <w:szCs w:val="24"/>
              </w:rPr>
              <w:t xml:space="preserve">Área urbana afetada pelas inundações de </w:t>
            </w:r>
            <w:r w:rsidR="005B5C3B">
              <w:rPr>
                <w:szCs w:val="24"/>
              </w:rPr>
              <w:t>2024</w:t>
            </w:r>
          </w:p>
        </w:tc>
        <w:tc>
          <w:tcPr>
            <w:tcW w:w="1620" w:type="dxa"/>
            <w:tcBorders>
              <w:top w:val="nil"/>
              <w:left w:val="nil"/>
              <w:bottom w:val="single" w:sz="8" w:space="0" w:color="000000"/>
              <w:right w:val="single" w:sz="8" w:space="0" w:color="000000"/>
            </w:tcBorders>
            <w:shd w:val="clear" w:color="auto" w:fill="auto"/>
            <w:vAlign w:val="center"/>
          </w:tcPr>
          <w:p w14:paraId="2BE07CA4" w14:textId="7F91DEF8" w:rsidR="00EF2FD7" w:rsidRPr="00EF2FD7" w:rsidRDefault="004C40A9" w:rsidP="00EF2FD7">
            <w:pPr>
              <w:spacing w:after="0" w:line="240" w:lineRule="auto"/>
              <w:ind w:left="0" w:firstLine="0"/>
              <w:jc w:val="center"/>
            </w:pPr>
            <w:hyperlink r:id="rId18" w:history="1">
              <w:r w:rsidR="005B5C3B" w:rsidRPr="00EF2FD7">
                <w:rPr>
                  <w:rStyle w:val="Hyperlink"/>
                </w:rPr>
                <w:t>MAPBIOMAS</w:t>
              </w:r>
            </w:hyperlink>
          </w:p>
        </w:tc>
        <w:tc>
          <w:tcPr>
            <w:tcW w:w="1830" w:type="dxa"/>
            <w:tcBorders>
              <w:top w:val="nil"/>
              <w:left w:val="nil"/>
              <w:bottom w:val="single" w:sz="8" w:space="0" w:color="000000"/>
              <w:right w:val="single" w:sz="8" w:space="0" w:color="000000"/>
            </w:tcBorders>
            <w:shd w:val="clear" w:color="auto" w:fill="auto"/>
            <w:vAlign w:val="center"/>
          </w:tcPr>
          <w:p w14:paraId="5E1A7A04" w14:textId="0684AD63" w:rsidR="00A81534" w:rsidRDefault="00EF2FD7" w:rsidP="006A3F97">
            <w:pPr>
              <w:spacing w:after="0" w:line="240" w:lineRule="auto"/>
              <w:ind w:left="0" w:firstLine="0"/>
              <w:jc w:val="center"/>
              <w:rPr>
                <w:szCs w:val="24"/>
              </w:rPr>
            </w:pPr>
            <w:r>
              <w:rPr>
                <w:szCs w:val="24"/>
              </w:rPr>
              <w:t>2024</w:t>
            </w:r>
          </w:p>
        </w:tc>
        <w:tc>
          <w:tcPr>
            <w:tcW w:w="1859" w:type="dxa"/>
            <w:tcBorders>
              <w:top w:val="nil"/>
              <w:left w:val="nil"/>
              <w:bottom w:val="single" w:sz="8" w:space="0" w:color="000000"/>
              <w:right w:val="single" w:sz="8" w:space="0" w:color="auto"/>
            </w:tcBorders>
            <w:shd w:val="clear" w:color="auto" w:fill="auto"/>
            <w:vAlign w:val="center"/>
          </w:tcPr>
          <w:p w14:paraId="38C7CE82" w14:textId="545FFB68" w:rsidR="00A81534" w:rsidRDefault="00EF2FD7" w:rsidP="006A3F97">
            <w:pPr>
              <w:spacing w:after="0" w:line="240" w:lineRule="auto"/>
              <w:ind w:left="0" w:firstLine="0"/>
              <w:jc w:val="center"/>
              <w:rPr>
                <w:szCs w:val="24"/>
              </w:rPr>
            </w:pPr>
            <w:proofErr w:type="spellStart"/>
            <w:r>
              <w:rPr>
                <w:szCs w:val="24"/>
              </w:rPr>
              <w:t>Raster</w:t>
            </w:r>
            <w:proofErr w:type="spellEnd"/>
            <w:r>
              <w:rPr>
                <w:szCs w:val="24"/>
              </w:rPr>
              <w:t xml:space="preserve"> (30m)</w:t>
            </w:r>
          </w:p>
        </w:tc>
        <w:tc>
          <w:tcPr>
            <w:tcW w:w="146" w:type="dxa"/>
            <w:vAlign w:val="center"/>
          </w:tcPr>
          <w:p w14:paraId="644A3002" w14:textId="77777777" w:rsidR="00A81534" w:rsidRPr="006A3F97" w:rsidRDefault="00A81534" w:rsidP="006A3F97">
            <w:pPr>
              <w:spacing w:after="0" w:line="240" w:lineRule="auto"/>
              <w:ind w:left="0" w:firstLine="0"/>
              <w:jc w:val="left"/>
              <w:rPr>
                <w:color w:val="auto"/>
                <w:sz w:val="20"/>
                <w:szCs w:val="20"/>
              </w:rPr>
            </w:pPr>
          </w:p>
        </w:tc>
      </w:tr>
      <w:tr w:rsidR="00B34B27" w:rsidRPr="006A3F97" w14:paraId="2B5704A1" w14:textId="77777777" w:rsidTr="00951D42">
        <w:trPr>
          <w:trHeight w:val="960"/>
        </w:trPr>
        <w:tc>
          <w:tcPr>
            <w:tcW w:w="1536" w:type="dxa"/>
            <w:vMerge/>
            <w:tcBorders>
              <w:left w:val="single" w:sz="8" w:space="0" w:color="auto"/>
              <w:bottom w:val="single" w:sz="8" w:space="0" w:color="000000"/>
              <w:right w:val="single" w:sz="8" w:space="0" w:color="000000"/>
            </w:tcBorders>
            <w:vAlign w:val="center"/>
          </w:tcPr>
          <w:p w14:paraId="402CAC09" w14:textId="77777777" w:rsidR="00B34B27" w:rsidRPr="006A3F97" w:rsidRDefault="00B34B27" w:rsidP="006A3F97">
            <w:pPr>
              <w:spacing w:after="0" w:line="240" w:lineRule="auto"/>
              <w:ind w:left="0" w:firstLine="0"/>
              <w:jc w:val="left"/>
              <w:rPr>
                <w:b/>
                <w:bCs/>
                <w:szCs w:val="24"/>
              </w:rPr>
            </w:pPr>
          </w:p>
        </w:tc>
        <w:tc>
          <w:tcPr>
            <w:tcW w:w="2349" w:type="dxa"/>
            <w:tcBorders>
              <w:top w:val="single" w:sz="4" w:space="0" w:color="auto"/>
              <w:left w:val="nil"/>
              <w:bottom w:val="nil"/>
              <w:right w:val="single" w:sz="8" w:space="0" w:color="000000"/>
            </w:tcBorders>
            <w:shd w:val="clear" w:color="auto" w:fill="auto"/>
            <w:vAlign w:val="center"/>
          </w:tcPr>
          <w:p w14:paraId="0CD0B4F5" w14:textId="5B5C9B2B" w:rsidR="00B34B27" w:rsidRDefault="005B5C3B" w:rsidP="006A3F97">
            <w:pPr>
              <w:spacing w:after="0" w:line="240" w:lineRule="auto"/>
              <w:ind w:left="0" w:firstLine="0"/>
              <w:jc w:val="center"/>
              <w:rPr>
                <w:szCs w:val="24"/>
              </w:rPr>
            </w:pPr>
            <w:r>
              <w:rPr>
                <w:szCs w:val="24"/>
              </w:rPr>
              <w:t>Área urbana anual, por município</w:t>
            </w:r>
          </w:p>
        </w:tc>
        <w:tc>
          <w:tcPr>
            <w:tcW w:w="1620" w:type="dxa"/>
            <w:tcBorders>
              <w:top w:val="nil"/>
              <w:left w:val="nil"/>
              <w:bottom w:val="single" w:sz="8" w:space="0" w:color="000000"/>
              <w:right w:val="single" w:sz="8" w:space="0" w:color="000000"/>
            </w:tcBorders>
            <w:shd w:val="clear" w:color="auto" w:fill="auto"/>
            <w:vAlign w:val="center"/>
          </w:tcPr>
          <w:p w14:paraId="3DBACCC2" w14:textId="3330B4E7" w:rsidR="00B34B27" w:rsidRDefault="004C40A9" w:rsidP="006A3F97">
            <w:pPr>
              <w:spacing w:after="0" w:line="240" w:lineRule="auto"/>
              <w:ind w:left="0" w:firstLine="0"/>
              <w:jc w:val="center"/>
            </w:pPr>
            <w:hyperlink r:id="rId19" w:history="1">
              <w:r w:rsidR="005B5C3B" w:rsidRPr="00EF2FD7">
                <w:rPr>
                  <w:rStyle w:val="Hyperlink"/>
                </w:rPr>
                <w:t>MAPBIOMAS</w:t>
              </w:r>
            </w:hyperlink>
          </w:p>
        </w:tc>
        <w:tc>
          <w:tcPr>
            <w:tcW w:w="1830" w:type="dxa"/>
            <w:tcBorders>
              <w:top w:val="nil"/>
              <w:left w:val="nil"/>
              <w:bottom w:val="single" w:sz="8" w:space="0" w:color="000000"/>
              <w:right w:val="single" w:sz="8" w:space="0" w:color="000000"/>
            </w:tcBorders>
            <w:shd w:val="clear" w:color="auto" w:fill="auto"/>
            <w:vAlign w:val="center"/>
          </w:tcPr>
          <w:p w14:paraId="424DF955" w14:textId="6D21F728" w:rsidR="00B34B27" w:rsidRDefault="00EF2FD7" w:rsidP="006A3F97">
            <w:pPr>
              <w:spacing w:after="0" w:line="240" w:lineRule="auto"/>
              <w:ind w:left="0" w:firstLine="0"/>
              <w:jc w:val="center"/>
              <w:rPr>
                <w:szCs w:val="24"/>
              </w:rPr>
            </w:pPr>
            <w:r>
              <w:rPr>
                <w:szCs w:val="24"/>
              </w:rPr>
              <w:t>1999-2024</w:t>
            </w:r>
          </w:p>
        </w:tc>
        <w:tc>
          <w:tcPr>
            <w:tcW w:w="1859" w:type="dxa"/>
            <w:tcBorders>
              <w:top w:val="nil"/>
              <w:left w:val="nil"/>
              <w:bottom w:val="single" w:sz="8" w:space="0" w:color="000000"/>
              <w:right w:val="single" w:sz="8" w:space="0" w:color="auto"/>
            </w:tcBorders>
            <w:shd w:val="clear" w:color="auto" w:fill="auto"/>
            <w:vAlign w:val="center"/>
          </w:tcPr>
          <w:p w14:paraId="4462F6F6" w14:textId="0F169A7F" w:rsidR="00B34B27" w:rsidRDefault="00EF2FD7" w:rsidP="006A3F97">
            <w:pPr>
              <w:spacing w:after="0" w:line="240" w:lineRule="auto"/>
              <w:ind w:left="0" w:firstLine="0"/>
              <w:jc w:val="center"/>
              <w:rPr>
                <w:szCs w:val="24"/>
              </w:rPr>
            </w:pPr>
            <w:proofErr w:type="spellStart"/>
            <w:r>
              <w:rPr>
                <w:szCs w:val="24"/>
              </w:rPr>
              <w:t>Raster</w:t>
            </w:r>
            <w:proofErr w:type="spellEnd"/>
            <w:r>
              <w:rPr>
                <w:szCs w:val="24"/>
              </w:rPr>
              <w:t xml:space="preserve"> (30m)</w:t>
            </w:r>
          </w:p>
        </w:tc>
        <w:tc>
          <w:tcPr>
            <w:tcW w:w="146" w:type="dxa"/>
            <w:vAlign w:val="center"/>
          </w:tcPr>
          <w:p w14:paraId="23A92757" w14:textId="77777777" w:rsidR="00B34B27" w:rsidRPr="006A3F97" w:rsidRDefault="00B34B27" w:rsidP="006A3F97">
            <w:pPr>
              <w:spacing w:after="0" w:line="240" w:lineRule="auto"/>
              <w:ind w:left="0" w:firstLine="0"/>
              <w:jc w:val="left"/>
              <w:rPr>
                <w:color w:val="auto"/>
                <w:sz w:val="20"/>
                <w:szCs w:val="20"/>
              </w:rPr>
            </w:pPr>
          </w:p>
        </w:tc>
      </w:tr>
      <w:tr w:rsidR="00E37AC0" w:rsidRPr="006A3F97" w14:paraId="38B26C69" w14:textId="77777777" w:rsidTr="004E7841">
        <w:trPr>
          <w:trHeight w:val="645"/>
        </w:trPr>
        <w:tc>
          <w:tcPr>
            <w:tcW w:w="1536" w:type="dxa"/>
            <w:vMerge w:val="restart"/>
            <w:tcBorders>
              <w:top w:val="nil"/>
              <w:left w:val="single" w:sz="8" w:space="0" w:color="auto"/>
              <w:right w:val="nil"/>
            </w:tcBorders>
            <w:shd w:val="clear" w:color="000000" w:fill="E7E6E6"/>
            <w:noWrap/>
            <w:vAlign w:val="center"/>
            <w:hideMark/>
          </w:tcPr>
          <w:p w14:paraId="5FD72223" w14:textId="77777777" w:rsidR="00E37AC0" w:rsidRPr="006A3F97" w:rsidRDefault="00E37AC0" w:rsidP="006A3F97">
            <w:pPr>
              <w:spacing w:after="0" w:line="240" w:lineRule="auto"/>
              <w:ind w:left="0" w:firstLine="0"/>
              <w:jc w:val="center"/>
              <w:rPr>
                <w:b/>
                <w:bCs/>
                <w:szCs w:val="24"/>
              </w:rPr>
            </w:pPr>
            <w:r w:rsidRPr="006A3F97">
              <w:rPr>
                <w:b/>
                <w:bCs/>
                <w:szCs w:val="24"/>
              </w:rPr>
              <w:t>Espaço</w:t>
            </w:r>
          </w:p>
        </w:tc>
        <w:tc>
          <w:tcPr>
            <w:tcW w:w="2349" w:type="dxa"/>
            <w:vMerge w:val="restart"/>
            <w:tcBorders>
              <w:top w:val="single" w:sz="8" w:space="0" w:color="auto"/>
              <w:left w:val="single" w:sz="8" w:space="0" w:color="auto"/>
              <w:right w:val="single" w:sz="8" w:space="0" w:color="auto"/>
            </w:tcBorders>
            <w:shd w:val="clear" w:color="auto" w:fill="auto"/>
            <w:vAlign w:val="center"/>
            <w:hideMark/>
          </w:tcPr>
          <w:p w14:paraId="5B458DD4" w14:textId="39D0CE04" w:rsidR="00E37AC0" w:rsidRPr="006A3F97" w:rsidRDefault="00BE410F" w:rsidP="006A3F97">
            <w:pPr>
              <w:spacing w:after="0" w:line="240" w:lineRule="auto"/>
              <w:ind w:left="0"/>
              <w:jc w:val="center"/>
              <w:rPr>
                <w:szCs w:val="24"/>
              </w:rPr>
            </w:pPr>
            <w:r>
              <w:rPr>
                <w:szCs w:val="24"/>
              </w:rPr>
              <w:t>Limites municipais</w:t>
            </w:r>
          </w:p>
        </w:tc>
        <w:tc>
          <w:tcPr>
            <w:tcW w:w="1620" w:type="dxa"/>
            <w:vMerge w:val="restart"/>
            <w:tcBorders>
              <w:top w:val="nil"/>
              <w:left w:val="nil"/>
              <w:right w:val="single" w:sz="8" w:space="0" w:color="000000"/>
            </w:tcBorders>
            <w:shd w:val="clear" w:color="auto" w:fill="auto"/>
            <w:vAlign w:val="center"/>
            <w:hideMark/>
          </w:tcPr>
          <w:p w14:paraId="165ED430" w14:textId="594001E3" w:rsidR="00E37AC0" w:rsidRPr="00110A90" w:rsidRDefault="004C40A9" w:rsidP="00580DCC">
            <w:pPr>
              <w:spacing w:after="0" w:line="240" w:lineRule="auto"/>
              <w:ind w:left="0"/>
              <w:jc w:val="center"/>
              <w:rPr>
                <w:rStyle w:val="Hyperlink"/>
              </w:rPr>
            </w:pPr>
            <w:hyperlink r:id="rId20" w:history="1">
              <w:r w:rsidR="00580DCC" w:rsidRPr="00580DCC">
                <w:rPr>
                  <w:rStyle w:val="Hyperlink"/>
                </w:rPr>
                <w:t>IBGE</w:t>
              </w:r>
            </w:hyperlink>
          </w:p>
        </w:tc>
        <w:tc>
          <w:tcPr>
            <w:tcW w:w="1830" w:type="dxa"/>
            <w:vMerge w:val="restart"/>
            <w:tcBorders>
              <w:top w:val="nil"/>
              <w:left w:val="nil"/>
              <w:right w:val="single" w:sz="8" w:space="0" w:color="000000"/>
            </w:tcBorders>
            <w:shd w:val="clear" w:color="auto" w:fill="auto"/>
            <w:vAlign w:val="center"/>
            <w:hideMark/>
          </w:tcPr>
          <w:p w14:paraId="4EFEE491" w14:textId="2A6C5028" w:rsidR="00E37AC0" w:rsidRPr="006A3F97" w:rsidRDefault="00F81025" w:rsidP="006A3F97">
            <w:pPr>
              <w:spacing w:after="0" w:line="240" w:lineRule="auto"/>
              <w:ind w:left="0"/>
              <w:jc w:val="center"/>
              <w:rPr>
                <w:szCs w:val="24"/>
              </w:rPr>
            </w:pPr>
            <w:r>
              <w:rPr>
                <w:szCs w:val="24"/>
              </w:rPr>
              <w:t>202</w:t>
            </w:r>
            <w:r w:rsidR="00580DCC">
              <w:rPr>
                <w:szCs w:val="24"/>
              </w:rPr>
              <w:t>2</w:t>
            </w:r>
          </w:p>
        </w:tc>
        <w:tc>
          <w:tcPr>
            <w:tcW w:w="1859" w:type="dxa"/>
            <w:vMerge w:val="restart"/>
            <w:tcBorders>
              <w:top w:val="nil"/>
              <w:left w:val="nil"/>
              <w:right w:val="single" w:sz="8" w:space="0" w:color="auto"/>
            </w:tcBorders>
            <w:shd w:val="clear" w:color="auto" w:fill="auto"/>
            <w:vAlign w:val="center"/>
            <w:hideMark/>
          </w:tcPr>
          <w:p w14:paraId="2393722F" w14:textId="6A50741F" w:rsidR="00E37AC0" w:rsidRPr="006A3F97" w:rsidRDefault="00580DCC" w:rsidP="00E00424">
            <w:pPr>
              <w:spacing w:after="0" w:line="240" w:lineRule="auto"/>
              <w:ind w:left="0" w:firstLine="0"/>
              <w:jc w:val="center"/>
              <w:rPr>
                <w:szCs w:val="24"/>
              </w:rPr>
            </w:pPr>
            <w:r>
              <w:rPr>
                <w:szCs w:val="24"/>
              </w:rPr>
              <w:t>Vetorial (Polígono)</w:t>
            </w:r>
            <w:r w:rsidR="00E37AC0" w:rsidRPr="006A3F97">
              <w:rPr>
                <w:szCs w:val="24"/>
              </w:rPr>
              <w:t xml:space="preserve"> </w:t>
            </w:r>
          </w:p>
        </w:tc>
        <w:tc>
          <w:tcPr>
            <w:tcW w:w="146" w:type="dxa"/>
            <w:vAlign w:val="center"/>
            <w:hideMark/>
          </w:tcPr>
          <w:p w14:paraId="6A9030F1" w14:textId="77777777" w:rsidR="00E37AC0" w:rsidRPr="006A3F97" w:rsidRDefault="00E37AC0" w:rsidP="006A3F97">
            <w:pPr>
              <w:spacing w:after="0" w:line="240" w:lineRule="auto"/>
              <w:ind w:left="0" w:firstLine="0"/>
              <w:jc w:val="left"/>
              <w:rPr>
                <w:color w:val="auto"/>
                <w:sz w:val="20"/>
                <w:szCs w:val="20"/>
              </w:rPr>
            </w:pPr>
          </w:p>
        </w:tc>
      </w:tr>
      <w:tr w:rsidR="00E37AC0" w:rsidRPr="006A3F97" w14:paraId="40EE8015" w14:textId="77777777" w:rsidTr="007B0E18">
        <w:trPr>
          <w:trHeight w:val="645"/>
        </w:trPr>
        <w:tc>
          <w:tcPr>
            <w:tcW w:w="1536" w:type="dxa"/>
            <w:vMerge/>
            <w:tcBorders>
              <w:left w:val="single" w:sz="8" w:space="0" w:color="auto"/>
              <w:bottom w:val="single" w:sz="4" w:space="0" w:color="auto"/>
              <w:right w:val="nil"/>
            </w:tcBorders>
            <w:shd w:val="clear" w:color="000000" w:fill="E7E6E6"/>
            <w:noWrap/>
            <w:vAlign w:val="center"/>
          </w:tcPr>
          <w:p w14:paraId="2D925667" w14:textId="77777777" w:rsidR="00E37AC0" w:rsidRPr="006A3F97" w:rsidRDefault="00E37AC0" w:rsidP="006A3F97">
            <w:pPr>
              <w:spacing w:after="0" w:line="240" w:lineRule="auto"/>
              <w:ind w:left="0" w:firstLine="0"/>
              <w:jc w:val="center"/>
              <w:rPr>
                <w:b/>
                <w:bCs/>
                <w:szCs w:val="24"/>
              </w:rPr>
            </w:pPr>
          </w:p>
        </w:tc>
        <w:tc>
          <w:tcPr>
            <w:tcW w:w="2349" w:type="dxa"/>
            <w:vMerge/>
            <w:tcBorders>
              <w:left w:val="single" w:sz="8" w:space="0" w:color="auto"/>
              <w:bottom w:val="single" w:sz="4" w:space="0" w:color="auto"/>
              <w:right w:val="single" w:sz="8" w:space="0" w:color="auto"/>
            </w:tcBorders>
            <w:shd w:val="clear" w:color="auto" w:fill="auto"/>
            <w:vAlign w:val="center"/>
          </w:tcPr>
          <w:p w14:paraId="620970DA" w14:textId="0ADE3999" w:rsidR="00E37AC0" w:rsidRPr="006A3F97" w:rsidRDefault="00E37AC0" w:rsidP="006A3F97">
            <w:pPr>
              <w:spacing w:after="0" w:line="240" w:lineRule="auto"/>
              <w:ind w:left="0" w:firstLine="0"/>
              <w:jc w:val="center"/>
              <w:rPr>
                <w:szCs w:val="24"/>
              </w:rPr>
            </w:pPr>
          </w:p>
        </w:tc>
        <w:tc>
          <w:tcPr>
            <w:tcW w:w="1620" w:type="dxa"/>
            <w:vMerge/>
            <w:tcBorders>
              <w:left w:val="nil"/>
              <w:bottom w:val="single" w:sz="4" w:space="0" w:color="auto"/>
              <w:right w:val="single" w:sz="8" w:space="0" w:color="000000"/>
            </w:tcBorders>
            <w:shd w:val="clear" w:color="auto" w:fill="auto"/>
            <w:vAlign w:val="center"/>
          </w:tcPr>
          <w:p w14:paraId="1F3B4752" w14:textId="75CC2CC1" w:rsidR="00E37AC0" w:rsidRDefault="00E37AC0" w:rsidP="006A3F97">
            <w:pPr>
              <w:spacing w:after="0" w:line="240" w:lineRule="auto"/>
              <w:ind w:left="0" w:firstLine="0"/>
              <w:jc w:val="center"/>
            </w:pPr>
          </w:p>
        </w:tc>
        <w:tc>
          <w:tcPr>
            <w:tcW w:w="1830" w:type="dxa"/>
            <w:vMerge/>
            <w:tcBorders>
              <w:left w:val="nil"/>
              <w:bottom w:val="single" w:sz="4" w:space="0" w:color="auto"/>
              <w:right w:val="single" w:sz="8" w:space="0" w:color="000000"/>
            </w:tcBorders>
            <w:shd w:val="clear" w:color="auto" w:fill="auto"/>
            <w:vAlign w:val="center"/>
          </w:tcPr>
          <w:p w14:paraId="402BCC63" w14:textId="29B77539" w:rsidR="00E37AC0" w:rsidRPr="006A3F97" w:rsidRDefault="00E37AC0" w:rsidP="006A3F97">
            <w:pPr>
              <w:spacing w:after="0" w:line="240" w:lineRule="auto"/>
              <w:ind w:left="0" w:firstLine="0"/>
              <w:jc w:val="center"/>
              <w:rPr>
                <w:szCs w:val="24"/>
              </w:rPr>
            </w:pPr>
          </w:p>
        </w:tc>
        <w:tc>
          <w:tcPr>
            <w:tcW w:w="1859" w:type="dxa"/>
            <w:vMerge/>
            <w:tcBorders>
              <w:left w:val="nil"/>
              <w:bottom w:val="single" w:sz="4" w:space="0" w:color="auto"/>
              <w:right w:val="single" w:sz="8" w:space="0" w:color="auto"/>
            </w:tcBorders>
            <w:shd w:val="clear" w:color="auto" w:fill="auto"/>
            <w:vAlign w:val="center"/>
          </w:tcPr>
          <w:p w14:paraId="6B4CC342" w14:textId="0A7A2353" w:rsidR="00E37AC0" w:rsidRPr="006A3F97" w:rsidRDefault="00E37AC0" w:rsidP="006A3F97">
            <w:pPr>
              <w:spacing w:after="0" w:line="240" w:lineRule="auto"/>
              <w:ind w:left="0" w:firstLine="0"/>
              <w:jc w:val="center"/>
              <w:rPr>
                <w:szCs w:val="24"/>
              </w:rPr>
            </w:pPr>
          </w:p>
        </w:tc>
        <w:tc>
          <w:tcPr>
            <w:tcW w:w="146" w:type="dxa"/>
            <w:vAlign w:val="center"/>
          </w:tcPr>
          <w:p w14:paraId="7AEBBE3F" w14:textId="77777777" w:rsidR="00E37AC0" w:rsidRPr="006A3F97" w:rsidRDefault="00E37AC0" w:rsidP="006A3F97">
            <w:pPr>
              <w:spacing w:after="0" w:line="240" w:lineRule="auto"/>
              <w:ind w:left="0" w:firstLine="0"/>
              <w:jc w:val="left"/>
              <w:rPr>
                <w:color w:val="auto"/>
                <w:sz w:val="20"/>
                <w:szCs w:val="20"/>
              </w:rPr>
            </w:pPr>
          </w:p>
        </w:tc>
      </w:tr>
    </w:tbl>
    <w:p w14:paraId="7E6CD18D" w14:textId="6A207882" w:rsidR="00B16BE3" w:rsidRDefault="00B16BE3" w:rsidP="006A3F97">
      <w:pPr>
        <w:spacing w:after="0" w:line="259" w:lineRule="auto"/>
        <w:jc w:val="left"/>
      </w:pPr>
    </w:p>
    <w:p w14:paraId="3045A9D5" w14:textId="77777777" w:rsidR="00B16BE3" w:rsidRDefault="002F04BD">
      <w:pPr>
        <w:pStyle w:val="Ttulo1"/>
        <w:ind w:left="345" w:hanging="360"/>
      </w:pPr>
      <w:r>
        <w:t xml:space="preserve">Referências </w:t>
      </w:r>
    </w:p>
    <w:p w14:paraId="084F275F" w14:textId="097F8082" w:rsidR="002F7BFB" w:rsidRPr="002F7BFB" w:rsidRDefault="002F7BFB" w:rsidP="00736BC8">
      <w:pPr>
        <w:ind w:left="-5"/>
      </w:pPr>
      <w:r w:rsidRPr="002F7BFB">
        <w:t>CEVS.</w:t>
      </w:r>
      <w:r>
        <w:t xml:space="preserve"> (2024)</w:t>
      </w:r>
      <w:r w:rsidR="00494A59">
        <w:t>.</w:t>
      </w:r>
      <w:r w:rsidRPr="002F7BFB">
        <w:t xml:space="preserve"> </w:t>
      </w:r>
      <w:r w:rsidRPr="00C8497B">
        <w:rPr>
          <w:b/>
          <w:bCs/>
        </w:rPr>
        <w:t>Tabulações da vigilância epidemiológica</w:t>
      </w:r>
      <w:r>
        <w:t xml:space="preserve">. </w:t>
      </w:r>
      <w:hyperlink r:id="rId21" w:history="1">
        <w:r w:rsidR="00494A59" w:rsidRPr="00420BFB">
          <w:rPr>
            <w:rStyle w:val="Hyperlink"/>
          </w:rPr>
          <w:t>http://200.198.173.165/tabnet/</w:t>
        </w:r>
      </w:hyperlink>
      <w:r w:rsidR="00494A59">
        <w:t xml:space="preserve">.  </w:t>
      </w:r>
    </w:p>
    <w:p w14:paraId="588D71F4" w14:textId="1DFCDA4B" w:rsidR="00F43395" w:rsidRDefault="00A90F7A" w:rsidP="00736BC8">
      <w:pPr>
        <w:ind w:left="-5"/>
        <w:rPr>
          <w:lang w:val="en-US"/>
        </w:rPr>
      </w:pPr>
      <w:proofErr w:type="spellStart"/>
      <w:r w:rsidRPr="002F7BFB">
        <w:rPr>
          <w:lang w:val="en-US"/>
        </w:rPr>
        <w:t>Haake</w:t>
      </w:r>
      <w:proofErr w:type="spellEnd"/>
      <w:r w:rsidRPr="002F7BFB">
        <w:rPr>
          <w:lang w:val="en-US"/>
        </w:rPr>
        <w:t xml:space="preserve">, D. A., &amp; </w:t>
      </w:r>
      <w:proofErr w:type="spellStart"/>
      <w:r w:rsidRPr="002F7BFB">
        <w:rPr>
          <w:lang w:val="en-US"/>
        </w:rPr>
        <w:t>Levett</w:t>
      </w:r>
      <w:proofErr w:type="spellEnd"/>
      <w:r w:rsidRPr="002F7BFB">
        <w:rPr>
          <w:lang w:val="en-US"/>
        </w:rPr>
        <w:t xml:space="preserve">, P. N. (2014). </w:t>
      </w:r>
      <w:r w:rsidRPr="00A90F7A">
        <w:rPr>
          <w:lang w:val="en-US"/>
        </w:rPr>
        <w:t xml:space="preserve">Leptospirosis in Humans. </w:t>
      </w:r>
      <w:r w:rsidRPr="00A90F7A">
        <w:rPr>
          <w:b/>
          <w:bCs/>
          <w:lang w:val="en-US"/>
        </w:rPr>
        <w:t>Current Topics in Microbiology and Immunology</w:t>
      </w:r>
      <w:r w:rsidRPr="00A90F7A">
        <w:rPr>
          <w:lang w:val="en-US"/>
        </w:rPr>
        <w:t xml:space="preserve">, 387, 65–97. </w:t>
      </w:r>
      <w:hyperlink r:id="rId22" w:history="1">
        <w:r w:rsidRPr="00420BFB">
          <w:rPr>
            <w:rStyle w:val="Hyperlink"/>
            <w:lang w:val="en-US"/>
          </w:rPr>
          <w:t>https://doi.org/10.1007/978-3-662-45059-8_5</w:t>
        </w:r>
      </w:hyperlink>
      <w:r>
        <w:rPr>
          <w:lang w:val="en-US"/>
        </w:rPr>
        <w:t xml:space="preserve">. </w:t>
      </w:r>
      <w:r w:rsidRPr="00A90F7A">
        <w:rPr>
          <w:lang w:val="en-US"/>
        </w:rPr>
        <w:t xml:space="preserve"> </w:t>
      </w:r>
      <w:r>
        <w:rPr>
          <w:lang w:val="en-US"/>
        </w:rPr>
        <w:t xml:space="preserve"> </w:t>
      </w:r>
      <w:r w:rsidRPr="00A90F7A">
        <w:rPr>
          <w:lang w:val="en-US"/>
        </w:rPr>
        <w:t>‌</w:t>
      </w:r>
      <w:r>
        <w:rPr>
          <w:lang w:val="en-US"/>
        </w:rPr>
        <w:t xml:space="preserve"> </w:t>
      </w:r>
    </w:p>
    <w:p w14:paraId="63F1A321" w14:textId="7F4651C9" w:rsidR="00DE7E4D" w:rsidRDefault="00DE7E4D" w:rsidP="00736BC8">
      <w:pPr>
        <w:ind w:left="-5"/>
        <w:rPr>
          <w:lang w:val="en-US"/>
        </w:rPr>
      </w:pPr>
      <w:proofErr w:type="spellStart"/>
      <w:r w:rsidRPr="00DE7E4D">
        <w:rPr>
          <w:lang w:val="en-US"/>
        </w:rPr>
        <w:lastRenderedPageBreak/>
        <w:t>Chadsuthi</w:t>
      </w:r>
      <w:proofErr w:type="spellEnd"/>
      <w:r w:rsidRPr="00DE7E4D">
        <w:rPr>
          <w:lang w:val="en-US"/>
        </w:rPr>
        <w:t xml:space="preserve">, S., </w:t>
      </w:r>
      <w:proofErr w:type="spellStart"/>
      <w:r w:rsidRPr="00DE7E4D">
        <w:rPr>
          <w:lang w:val="en-US"/>
        </w:rPr>
        <w:t>Chalvet-Monfray</w:t>
      </w:r>
      <w:proofErr w:type="spellEnd"/>
      <w:r w:rsidRPr="00DE7E4D">
        <w:rPr>
          <w:lang w:val="en-US"/>
        </w:rPr>
        <w:t xml:space="preserve">, K., </w:t>
      </w:r>
      <w:proofErr w:type="spellStart"/>
      <w:r w:rsidRPr="00DE7E4D">
        <w:rPr>
          <w:lang w:val="en-US"/>
        </w:rPr>
        <w:t>Wiratsudakul</w:t>
      </w:r>
      <w:proofErr w:type="spellEnd"/>
      <w:r w:rsidRPr="00DE7E4D">
        <w:rPr>
          <w:lang w:val="en-US"/>
        </w:rPr>
        <w:t xml:space="preserve">, A., </w:t>
      </w:r>
      <w:proofErr w:type="spellStart"/>
      <w:r w:rsidRPr="00DE7E4D">
        <w:rPr>
          <w:lang w:val="en-US"/>
        </w:rPr>
        <w:t>Suwancharoen</w:t>
      </w:r>
      <w:proofErr w:type="spellEnd"/>
      <w:r w:rsidRPr="00DE7E4D">
        <w:rPr>
          <w:lang w:val="en-US"/>
        </w:rPr>
        <w:t xml:space="preserve">, D., &amp; </w:t>
      </w:r>
      <w:proofErr w:type="spellStart"/>
      <w:r w:rsidRPr="00DE7E4D">
        <w:rPr>
          <w:lang w:val="en-US"/>
        </w:rPr>
        <w:t>Cappelle</w:t>
      </w:r>
      <w:proofErr w:type="spellEnd"/>
      <w:r w:rsidRPr="00DE7E4D">
        <w:rPr>
          <w:lang w:val="en-US"/>
        </w:rPr>
        <w:t xml:space="preserve">, J. (2018). A remotely sensed flooding indicator associated with cattle and buffalo leptospirosis cases in Thailand 2011–2013. </w:t>
      </w:r>
      <w:r w:rsidRPr="00DE7E4D">
        <w:rPr>
          <w:b/>
          <w:bCs/>
          <w:lang w:val="en-US"/>
        </w:rPr>
        <w:t>BMC Infectious Diseases</w:t>
      </w:r>
      <w:r w:rsidRPr="00DE7E4D">
        <w:rPr>
          <w:lang w:val="en-US"/>
        </w:rPr>
        <w:t xml:space="preserve">, 18(1). </w:t>
      </w:r>
      <w:hyperlink r:id="rId23" w:history="1">
        <w:r w:rsidRPr="00420BFB">
          <w:rPr>
            <w:rStyle w:val="Hyperlink"/>
            <w:lang w:val="en-US"/>
          </w:rPr>
          <w:t>https://doi.org/10.1186/s12879-018-3537-3</w:t>
        </w:r>
      </w:hyperlink>
      <w:r>
        <w:rPr>
          <w:lang w:val="en-US"/>
        </w:rPr>
        <w:t xml:space="preserve">. </w:t>
      </w:r>
    </w:p>
    <w:p w14:paraId="2AEFE951" w14:textId="6300DEA5" w:rsidR="00C8497B" w:rsidRPr="00C8497B" w:rsidRDefault="00C8497B" w:rsidP="00736BC8">
      <w:pPr>
        <w:ind w:left="-5"/>
        <w:rPr>
          <w:lang w:val="en-US"/>
        </w:rPr>
      </w:pPr>
      <w:r>
        <w:rPr>
          <w:lang w:val="en-US"/>
        </w:rPr>
        <w:t xml:space="preserve">ICMSD. (2024). </w:t>
      </w:r>
      <w:r>
        <w:rPr>
          <w:b/>
          <w:bCs/>
          <w:lang w:val="en-US"/>
        </w:rPr>
        <w:t>Flooding in Brazil</w:t>
      </w:r>
      <w:r>
        <w:rPr>
          <w:lang w:val="en-US"/>
        </w:rPr>
        <w:t xml:space="preserve">. </w:t>
      </w:r>
      <w:hyperlink r:id="rId24" w:history="1">
        <w:r w:rsidRPr="00420BFB">
          <w:rPr>
            <w:rStyle w:val="Hyperlink"/>
            <w:lang w:val="en-US"/>
          </w:rPr>
          <w:t>https://disasterscharter.org/web/guest/activations/-/article/flood-in-brazil-activation-875-</w:t>
        </w:r>
      </w:hyperlink>
      <w:r>
        <w:rPr>
          <w:lang w:val="en-US"/>
        </w:rPr>
        <w:t xml:space="preserve">. </w:t>
      </w:r>
    </w:p>
    <w:p w14:paraId="12737D87" w14:textId="27758607" w:rsidR="00A90F7A" w:rsidRDefault="008A36B4" w:rsidP="00736BC8">
      <w:pPr>
        <w:ind w:left="-5"/>
        <w:rPr>
          <w:lang w:val="en-US"/>
        </w:rPr>
      </w:pPr>
      <w:r w:rsidRPr="008A36B4">
        <w:rPr>
          <w:lang w:val="en-US"/>
        </w:rPr>
        <w:t xml:space="preserve">Lau, C. L., Smythe, L. D., Craig, S. B., &amp; Weinstein, P. (2010). Climate change, flooding, </w:t>
      </w:r>
      <w:proofErr w:type="spellStart"/>
      <w:r w:rsidRPr="008A36B4">
        <w:rPr>
          <w:lang w:val="en-US"/>
        </w:rPr>
        <w:t>urbanisation</w:t>
      </w:r>
      <w:proofErr w:type="spellEnd"/>
      <w:r w:rsidRPr="008A36B4">
        <w:rPr>
          <w:lang w:val="en-US"/>
        </w:rPr>
        <w:t xml:space="preserve"> and leptospirosis: </w:t>
      </w:r>
      <w:proofErr w:type="spellStart"/>
      <w:r w:rsidRPr="008A36B4">
        <w:rPr>
          <w:lang w:val="en-US"/>
        </w:rPr>
        <w:t>fuelling</w:t>
      </w:r>
      <w:proofErr w:type="spellEnd"/>
      <w:r w:rsidRPr="008A36B4">
        <w:rPr>
          <w:lang w:val="en-US"/>
        </w:rPr>
        <w:t xml:space="preserve"> the fire? </w:t>
      </w:r>
      <w:r w:rsidRPr="008A36B4">
        <w:rPr>
          <w:b/>
          <w:bCs/>
          <w:lang w:val="en-US"/>
        </w:rPr>
        <w:t>Transactions of the Royal Society of Tropical Medicine and Hygiene</w:t>
      </w:r>
      <w:r w:rsidRPr="008A36B4">
        <w:rPr>
          <w:lang w:val="en-US"/>
        </w:rPr>
        <w:t xml:space="preserve">, 104(10), 631–638. </w:t>
      </w:r>
      <w:hyperlink r:id="rId25" w:history="1">
        <w:r w:rsidRPr="00420BFB">
          <w:rPr>
            <w:rStyle w:val="Hyperlink"/>
            <w:lang w:val="en-US"/>
          </w:rPr>
          <w:t>https://doi.org/10.1016/j.trstmh.2010.07.002</w:t>
        </w:r>
      </w:hyperlink>
      <w:r>
        <w:rPr>
          <w:lang w:val="en-US"/>
        </w:rPr>
        <w:t xml:space="preserve">. </w:t>
      </w:r>
      <w:r w:rsidRPr="008A36B4">
        <w:rPr>
          <w:lang w:val="en-US"/>
        </w:rPr>
        <w:t xml:space="preserve"> </w:t>
      </w:r>
      <w:r>
        <w:rPr>
          <w:lang w:val="en-US"/>
        </w:rPr>
        <w:t xml:space="preserve"> </w:t>
      </w:r>
      <w:r w:rsidRPr="008A36B4">
        <w:rPr>
          <w:lang w:val="en-US"/>
        </w:rPr>
        <w:t>‌</w:t>
      </w:r>
    </w:p>
    <w:p w14:paraId="336FDF9A" w14:textId="7580EFBD" w:rsidR="008A36B4" w:rsidRPr="00A90F7A" w:rsidRDefault="000E6B30" w:rsidP="00736BC8">
      <w:pPr>
        <w:ind w:left="-5"/>
        <w:rPr>
          <w:lang w:val="en-US"/>
        </w:rPr>
      </w:pPr>
      <w:r w:rsidRPr="000E6B30">
        <w:rPr>
          <w:lang w:val="en-US"/>
        </w:rPr>
        <w:t xml:space="preserve">Macpherson, H., </w:t>
      </w:r>
      <w:proofErr w:type="spellStart"/>
      <w:r w:rsidRPr="000E6B30">
        <w:rPr>
          <w:lang w:val="en-US"/>
        </w:rPr>
        <w:t>Maschino</w:t>
      </w:r>
      <w:proofErr w:type="spellEnd"/>
      <w:r w:rsidRPr="000E6B30">
        <w:rPr>
          <w:lang w:val="en-US"/>
        </w:rPr>
        <w:t xml:space="preserve">, A., </w:t>
      </w:r>
      <w:proofErr w:type="spellStart"/>
      <w:r w:rsidRPr="000E6B30">
        <w:rPr>
          <w:lang w:val="en-US"/>
        </w:rPr>
        <w:t>Lewith</w:t>
      </w:r>
      <w:proofErr w:type="spellEnd"/>
      <w:r w:rsidRPr="000E6B30">
        <w:rPr>
          <w:lang w:val="en-US"/>
        </w:rPr>
        <w:t xml:space="preserve">, G., Foster, N., Witt, C., &amp; Vickers, A. (2013). Main Sources of Air Pollution in Jakarta. </w:t>
      </w:r>
      <w:proofErr w:type="spellStart"/>
      <w:r w:rsidRPr="000E6B30">
        <w:rPr>
          <w:b/>
          <w:bCs/>
          <w:lang w:val="en-US"/>
        </w:rPr>
        <w:t>PLoS</w:t>
      </w:r>
      <w:proofErr w:type="spellEnd"/>
      <w:r w:rsidRPr="000E6B30">
        <w:rPr>
          <w:b/>
          <w:bCs/>
          <w:lang w:val="en-US"/>
        </w:rPr>
        <w:t xml:space="preserve"> ONE</w:t>
      </w:r>
      <w:r w:rsidRPr="000E6B30">
        <w:rPr>
          <w:lang w:val="en-US"/>
        </w:rPr>
        <w:t xml:space="preserve">, 17(1). </w:t>
      </w:r>
      <w:hyperlink r:id="rId26" w:history="1">
        <w:r w:rsidRPr="00420BFB">
          <w:rPr>
            <w:rStyle w:val="Hyperlink"/>
            <w:lang w:val="en-US"/>
          </w:rPr>
          <w:t>https://doi.org/10.1371/journa</w:t>
        </w:r>
        <w:r w:rsidRPr="00420BFB">
          <w:rPr>
            <w:rStyle w:val="Hyperlink"/>
            <w:lang w:val="en-US"/>
          </w:rPr>
          <w:t>l</w:t>
        </w:r>
      </w:hyperlink>
      <w:r>
        <w:rPr>
          <w:lang w:val="en-US"/>
        </w:rPr>
        <w:t xml:space="preserve">. </w:t>
      </w:r>
    </w:p>
    <w:sectPr w:rsidR="008A36B4" w:rsidRPr="00A90F7A">
      <w:headerReference w:type="even" r:id="rId27"/>
      <w:headerReference w:type="default" r:id="rId28"/>
      <w:headerReference w:type="first" r:id="rId29"/>
      <w:pgSz w:w="11906" w:h="16838"/>
      <w:pgMar w:top="2213" w:right="1697" w:bottom="1828" w:left="1702"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AA160" w14:textId="77777777" w:rsidR="00BE639E" w:rsidRDefault="00BE639E">
      <w:pPr>
        <w:spacing w:after="0" w:line="240" w:lineRule="auto"/>
      </w:pPr>
      <w:r>
        <w:separator/>
      </w:r>
    </w:p>
  </w:endnote>
  <w:endnote w:type="continuationSeparator" w:id="0">
    <w:p w14:paraId="13B6649D" w14:textId="77777777" w:rsidR="00BE639E" w:rsidRDefault="00BE6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pplryAdvTTb5929f4c">
    <w:altName w:val="Cambria"/>
    <w:panose1 w:val="00000000000000000000"/>
    <w:charset w:val="00"/>
    <w:family w:val="roman"/>
    <w:notTrueType/>
    <w:pitch w:val="default"/>
  </w:font>
  <w:font w:name="DfpvjqAdvTTb5929f4c+20">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4F21B" w14:textId="77777777" w:rsidR="00BE639E" w:rsidRDefault="00BE639E">
      <w:pPr>
        <w:spacing w:after="0" w:line="240" w:lineRule="auto"/>
      </w:pPr>
      <w:r>
        <w:separator/>
      </w:r>
    </w:p>
  </w:footnote>
  <w:footnote w:type="continuationSeparator" w:id="0">
    <w:p w14:paraId="144CBDBD" w14:textId="77777777" w:rsidR="00BE639E" w:rsidRDefault="00BE6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0F6D" w14:textId="77777777" w:rsidR="00B16BE3" w:rsidRDefault="002F04BD">
    <w:pPr>
      <w:spacing w:after="0" w:line="259" w:lineRule="auto"/>
      <w:ind w:left="-1" w:firstLine="0"/>
      <w:jc w:val="left"/>
    </w:pPr>
    <w:r>
      <w:rPr>
        <w:noProof/>
      </w:rPr>
      <w:drawing>
        <wp:anchor distT="0" distB="0" distL="114300" distR="114300" simplePos="0" relativeHeight="251658240" behindDoc="0" locked="0" layoutInCell="1" allowOverlap="0" wp14:anchorId="5BE02C63" wp14:editId="4213C069">
          <wp:simplePos x="0" y="0"/>
          <wp:positionH relativeFrom="page">
            <wp:posOffset>1080135</wp:posOffset>
          </wp:positionH>
          <wp:positionV relativeFrom="page">
            <wp:posOffset>449580</wp:posOffset>
          </wp:positionV>
          <wp:extent cx="4387215" cy="95440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4387215" cy="954405"/>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977C" w14:textId="77777777" w:rsidR="00B16BE3" w:rsidRDefault="002F04BD">
    <w:pPr>
      <w:spacing w:after="0" w:line="259" w:lineRule="auto"/>
      <w:ind w:left="-1" w:firstLine="0"/>
      <w:jc w:val="left"/>
    </w:pPr>
    <w:r>
      <w:rPr>
        <w:noProof/>
      </w:rPr>
      <w:drawing>
        <wp:anchor distT="0" distB="0" distL="114300" distR="114300" simplePos="0" relativeHeight="251659264" behindDoc="0" locked="0" layoutInCell="1" allowOverlap="0" wp14:anchorId="0AC94BF2" wp14:editId="6773478C">
          <wp:simplePos x="0" y="0"/>
          <wp:positionH relativeFrom="page">
            <wp:posOffset>1080135</wp:posOffset>
          </wp:positionH>
          <wp:positionV relativeFrom="page">
            <wp:posOffset>449580</wp:posOffset>
          </wp:positionV>
          <wp:extent cx="4387215" cy="954405"/>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4387215" cy="954405"/>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2E6C" w14:textId="77777777" w:rsidR="00B16BE3" w:rsidRDefault="002F04BD">
    <w:pPr>
      <w:spacing w:after="0" w:line="259" w:lineRule="auto"/>
      <w:ind w:left="-1" w:firstLine="0"/>
      <w:jc w:val="left"/>
    </w:pPr>
    <w:r>
      <w:rPr>
        <w:noProof/>
      </w:rPr>
      <w:drawing>
        <wp:anchor distT="0" distB="0" distL="114300" distR="114300" simplePos="0" relativeHeight="251660288" behindDoc="0" locked="0" layoutInCell="1" allowOverlap="0" wp14:anchorId="4C8CAE62" wp14:editId="4C0ACE5A">
          <wp:simplePos x="0" y="0"/>
          <wp:positionH relativeFrom="page">
            <wp:posOffset>1080135</wp:posOffset>
          </wp:positionH>
          <wp:positionV relativeFrom="page">
            <wp:posOffset>449580</wp:posOffset>
          </wp:positionV>
          <wp:extent cx="4387215" cy="954405"/>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4387215" cy="954405"/>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A5A5A"/>
    <w:multiLevelType w:val="hybridMultilevel"/>
    <w:tmpl w:val="AB206AEE"/>
    <w:lvl w:ilvl="0" w:tplc="04160001">
      <w:start w:val="1"/>
      <w:numFmt w:val="bullet"/>
      <w:lvlText w:val=""/>
      <w:lvlJc w:val="left"/>
      <w:pPr>
        <w:ind w:left="1090" w:hanging="360"/>
      </w:pPr>
      <w:rPr>
        <w:rFonts w:ascii="Symbol" w:hAnsi="Symbol" w:hint="default"/>
      </w:rPr>
    </w:lvl>
    <w:lvl w:ilvl="1" w:tplc="04160003" w:tentative="1">
      <w:start w:val="1"/>
      <w:numFmt w:val="bullet"/>
      <w:lvlText w:val="o"/>
      <w:lvlJc w:val="left"/>
      <w:pPr>
        <w:ind w:left="1810" w:hanging="360"/>
      </w:pPr>
      <w:rPr>
        <w:rFonts w:ascii="Courier New" w:hAnsi="Courier New" w:cs="Courier New" w:hint="default"/>
      </w:rPr>
    </w:lvl>
    <w:lvl w:ilvl="2" w:tplc="04160005" w:tentative="1">
      <w:start w:val="1"/>
      <w:numFmt w:val="bullet"/>
      <w:lvlText w:val=""/>
      <w:lvlJc w:val="left"/>
      <w:pPr>
        <w:ind w:left="2530" w:hanging="360"/>
      </w:pPr>
      <w:rPr>
        <w:rFonts w:ascii="Wingdings" w:hAnsi="Wingdings" w:hint="default"/>
      </w:rPr>
    </w:lvl>
    <w:lvl w:ilvl="3" w:tplc="04160001" w:tentative="1">
      <w:start w:val="1"/>
      <w:numFmt w:val="bullet"/>
      <w:lvlText w:val=""/>
      <w:lvlJc w:val="left"/>
      <w:pPr>
        <w:ind w:left="3250" w:hanging="360"/>
      </w:pPr>
      <w:rPr>
        <w:rFonts w:ascii="Symbol" w:hAnsi="Symbol" w:hint="default"/>
      </w:rPr>
    </w:lvl>
    <w:lvl w:ilvl="4" w:tplc="04160003" w:tentative="1">
      <w:start w:val="1"/>
      <w:numFmt w:val="bullet"/>
      <w:lvlText w:val="o"/>
      <w:lvlJc w:val="left"/>
      <w:pPr>
        <w:ind w:left="3970" w:hanging="360"/>
      </w:pPr>
      <w:rPr>
        <w:rFonts w:ascii="Courier New" w:hAnsi="Courier New" w:cs="Courier New" w:hint="default"/>
      </w:rPr>
    </w:lvl>
    <w:lvl w:ilvl="5" w:tplc="04160005" w:tentative="1">
      <w:start w:val="1"/>
      <w:numFmt w:val="bullet"/>
      <w:lvlText w:val=""/>
      <w:lvlJc w:val="left"/>
      <w:pPr>
        <w:ind w:left="4690" w:hanging="360"/>
      </w:pPr>
      <w:rPr>
        <w:rFonts w:ascii="Wingdings" w:hAnsi="Wingdings" w:hint="default"/>
      </w:rPr>
    </w:lvl>
    <w:lvl w:ilvl="6" w:tplc="04160001" w:tentative="1">
      <w:start w:val="1"/>
      <w:numFmt w:val="bullet"/>
      <w:lvlText w:val=""/>
      <w:lvlJc w:val="left"/>
      <w:pPr>
        <w:ind w:left="5410" w:hanging="360"/>
      </w:pPr>
      <w:rPr>
        <w:rFonts w:ascii="Symbol" w:hAnsi="Symbol" w:hint="default"/>
      </w:rPr>
    </w:lvl>
    <w:lvl w:ilvl="7" w:tplc="04160003" w:tentative="1">
      <w:start w:val="1"/>
      <w:numFmt w:val="bullet"/>
      <w:lvlText w:val="o"/>
      <w:lvlJc w:val="left"/>
      <w:pPr>
        <w:ind w:left="6130" w:hanging="360"/>
      </w:pPr>
      <w:rPr>
        <w:rFonts w:ascii="Courier New" w:hAnsi="Courier New" w:cs="Courier New" w:hint="default"/>
      </w:rPr>
    </w:lvl>
    <w:lvl w:ilvl="8" w:tplc="04160005" w:tentative="1">
      <w:start w:val="1"/>
      <w:numFmt w:val="bullet"/>
      <w:lvlText w:val=""/>
      <w:lvlJc w:val="left"/>
      <w:pPr>
        <w:ind w:left="6850" w:hanging="360"/>
      </w:pPr>
      <w:rPr>
        <w:rFonts w:ascii="Wingdings" w:hAnsi="Wingdings" w:hint="default"/>
      </w:rPr>
    </w:lvl>
  </w:abstractNum>
  <w:abstractNum w:abstractNumId="1" w15:restartNumberingAfterBreak="0">
    <w:nsid w:val="45464430"/>
    <w:multiLevelType w:val="hybridMultilevel"/>
    <w:tmpl w:val="E2A0D4EE"/>
    <w:lvl w:ilvl="0" w:tplc="04160001">
      <w:start w:val="1"/>
      <w:numFmt w:val="bullet"/>
      <w:lvlText w:val=""/>
      <w:lvlJc w:val="left"/>
      <w:pPr>
        <w:ind w:left="1065" w:hanging="360"/>
      </w:pPr>
      <w:rPr>
        <w:rFonts w:ascii="Symbol" w:hAnsi="Symbol"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2" w15:restartNumberingAfterBreak="0">
    <w:nsid w:val="49F3426C"/>
    <w:multiLevelType w:val="hybridMultilevel"/>
    <w:tmpl w:val="F7541D7A"/>
    <w:lvl w:ilvl="0" w:tplc="5870269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E62D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486D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8623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0866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8C3A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A0F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D8797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7AB3A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67742E"/>
    <w:multiLevelType w:val="hybridMultilevel"/>
    <w:tmpl w:val="8EF02126"/>
    <w:lvl w:ilvl="0" w:tplc="35B4A5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DE50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B0F6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2A5A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92B5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4A3A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D073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5618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9279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FDF6486"/>
    <w:multiLevelType w:val="hybridMultilevel"/>
    <w:tmpl w:val="51580514"/>
    <w:lvl w:ilvl="0" w:tplc="531828E6">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93CD34E">
      <w:start w:val="1"/>
      <w:numFmt w:val="bullet"/>
      <w:lvlText w:val="o"/>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438F716">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170C47E">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BF211D6">
      <w:start w:val="1"/>
      <w:numFmt w:val="bullet"/>
      <w:lvlText w:val="o"/>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E54FDCA">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52478D2">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C887626">
      <w:start w:val="1"/>
      <w:numFmt w:val="bullet"/>
      <w:lvlText w:val="o"/>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794392C">
      <w:start w:val="1"/>
      <w:numFmt w:val="bullet"/>
      <w:lvlText w:val="▪"/>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C0619D"/>
    <w:multiLevelType w:val="multilevel"/>
    <w:tmpl w:val="385A27D8"/>
    <w:lvl w:ilvl="0">
      <w:start w:val="1"/>
      <w:numFmt w:val="decimal"/>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pStyle w:val="Ttulo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BB850EE"/>
    <w:multiLevelType w:val="hybridMultilevel"/>
    <w:tmpl w:val="262E3054"/>
    <w:lvl w:ilvl="0" w:tplc="6F8CB08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876D7A2">
      <w:start w:val="1"/>
      <w:numFmt w:val="bullet"/>
      <w:lvlText w:val="o"/>
      <w:lvlJc w:val="left"/>
      <w:pPr>
        <w:ind w:left="207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ED4106A">
      <w:start w:val="1"/>
      <w:numFmt w:val="bullet"/>
      <w:lvlText w:val="▪"/>
      <w:lvlJc w:val="left"/>
      <w:pPr>
        <w:ind w:left="27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C5C8C14">
      <w:start w:val="1"/>
      <w:numFmt w:val="bullet"/>
      <w:lvlText w:val="•"/>
      <w:lvlJc w:val="left"/>
      <w:pPr>
        <w:ind w:left="35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D6428D4">
      <w:start w:val="1"/>
      <w:numFmt w:val="bullet"/>
      <w:lvlText w:val="o"/>
      <w:lvlJc w:val="left"/>
      <w:pPr>
        <w:ind w:left="42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A9A7B64">
      <w:start w:val="1"/>
      <w:numFmt w:val="bullet"/>
      <w:lvlText w:val="▪"/>
      <w:lvlJc w:val="left"/>
      <w:pPr>
        <w:ind w:left="495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BEA24CE">
      <w:start w:val="1"/>
      <w:numFmt w:val="bullet"/>
      <w:lvlText w:val="•"/>
      <w:lvlJc w:val="left"/>
      <w:pPr>
        <w:ind w:left="567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A8C4C10">
      <w:start w:val="1"/>
      <w:numFmt w:val="bullet"/>
      <w:lvlText w:val="o"/>
      <w:lvlJc w:val="left"/>
      <w:pPr>
        <w:ind w:left="639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F42ABD4">
      <w:start w:val="1"/>
      <w:numFmt w:val="bullet"/>
      <w:lvlText w:val="▪"/>
      <w:lvlJc w:val="left"/>
      <w:pPr>
        <w:ind w:left="71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07B70A6"/>
    <w:multiLevelType w:val="hybridMultilevel"/>
    <w:tmpl w:val="AEA470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75E1016"/>
    <w:multiLevelType w:val="hybridMultilevel"/>
    <w:tmpl w:val="A86EF04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abstractNumId w:val="2"/>
  </w:num>
  <w:num w:numId="2">
    <w:abstractNumId w:val="4"/>
  </w:num>
  <w:num w:numId="3">
    <w:abstractNumId w:val="6"/>
  </w:num>
  <w:num w:numId="4">
    <w:abstractNumId w:val="3"/>
  </w:num>
  <w:num w:numId="5">
    <w:abstractNumId w:val="5"/>
  </w:num>
  <w:num w:numId="6">
    <w:abstractNumId w:val="8"/>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BE3"/>
    <w:rsid w:val="00007AC2"/>
    <w:rsid w:val="0001454E"/>
    <w:rsid w:val="000211E6"/>
    <w:rsid w:val="00024066"/>
    <w:rsid w:val="00032818"/>
    <w:rsid w:val="00036373"/>
    <w:rsid w:val="000372D1"/>
    <w:rsid w:val="0004025B"/>
    <w:rsid w:val="000406E1"/>
    <w:rsid w:val="00040D6C"/>
    <w:rsid w:val="00054035"/>
    <w:rsid w:val="00055F1A"/>
    <w:rsid w:val="00056C17"/>
    <w:rsid w:val="00072444"/>
    <w:rsid w:val="0007730B"/>
    <w:rsid w:val="0008356C"/>
    <w:rsid w:val="00084BF9"/>
    <w:rsid w:val="00093315"/>
    <w:rsid w:val="000A1761"/>
    <w:rsid w:val="000A3574"/>
    <w:rsid w:val="000B1976"/>
    <w:rsid w:val="000B7D69"/>
    <w:rsid w:val="000C18FF"/>
    <w:rsid w:val="000C4844"/>
    <w:rsid w:val="000D6AA2"/>
    <w:rsid w:val="000E663E"/>
    <w:rsid w:val="000E6B30"/>
    <w:rsid w:val="000E7F7F"/>
    <w:rsid w:val="000F69E5"/>
    <w:rsid w:val="00110A90"/>
    <w:rsid w:val="0011376D"/>
    <w:rsid w:val="0012526B"/>
    <w:rsid w:val="001349AD"/>
    <w:rsid w:val="001369D9"/>
    <w:rsid w:val="00140AAC"/>
    <w:rsid w:val="00146F96"/>
    <w:rsid w:val="001629FA"/>
    <w:rsid w:val="00175B1C"/>
    <w:rsid w:val="0017757B"/>
    <w:rsid w:val="00177828"/>
    <w:rsid w:val="001A753E"/>
    <w:rsid w:val="001B086E"/>
    <w:rsid w:val="001B59F6"/>
    <w:rsid w:val="001C29B0"/>
    <w:rsid w:val="001D56F1"/>
    <w:rsid w:val="00220DE4"/>
    <w:rsid w:val="00221628"/>
    <w:rsid w:val="0022542E"/>
    <w:rsid w:val="002666AE"/>
    <w:rsid w:val="00275008"/>
    <w:rsid w:val="00276070"/>
    <w:rsid w:val="002850B9"/>
    <w:rsid w:val="00285AA1"/>
    <w:rsid w:val="00285C2A"/>
    <w:rsid w:val="002871D4"/>
    <w:rsid w:val="002A31B3"/>
    <w:rsid w:val="002A4D7A"/>
    <w:rsid w:val="002B1054"/>
    <w:rsid w:val="002B190B"/>
    <w:rsid w:val="002B2CBC"/>
    <w:rsid w:val="002B4AED"/>
    <w:rsid w:val="002B57EB"/>
    <w:rsid w:val="002C4088"/>
    <w:rsid w:val="002D28BD"/>
    <w:rsid w:val="002D2B7C"/>
    <w:rsid w:val="002D3539"/>
    <w:rsid w:val="002D3CB5"/>
    <w:rsid w:val="002E27DE"/>
    <w:rsid w:val="002E3AB4"/>
    <w:rsid w:val="002F04BD"/>
    <w:rsid w:val="002F5654"/>
    <w:rsid w:val="002F7BFB"/>
    <w:rsid w:val="00300771"/>
    <w:rsid w:val="00303242"/>
    <w:rsid w:val="00314099"/>
    <w:rsid w:val="00323276"/>
    <w:rsid w:val="0032337C"/>
    <w:rsid w:val="00325A01"/>
    <w:rsid w:val="00327668"/>
    <w:rsid w:val="00332828"/>
    <w:rsid w:val="00335C2A"/>
    <w:rsid w:val="003430C4"/>
    <w:rsid w:val="00343CA6"/>
    <w:rsid w:val="00353C3A"/>
    <w:rsid w:val="003547EC"/>
    <w:rsid w:val="00355C65"/>
    <w:rsid w:val="003623C4"/>
    <w:rsid w:val="00371EC3"/>
    <w:rsid w:val="003768D9"/>
    <w:rsid w:val="0038789E"/>
    <w:rsid w:val="0039489D"/>
    <w:rsid w:val="003A2027"/>
    <w:rsid w:val="003A2E51"/>
    <w:rsid w:val="003A5061"/>
    <w:rsid w:val="003B6063"/>
    <w:rsid w:val="003C79D5"/>
    <w:rsid w:val="003D2705"/>
    <w:rsid w:val="003E1467"/>
    <w:rsid w:val="00400877"/>
    <w:rsid w:val="00413EED"/>
    <w:rsid w:val="00415707"/>
    <w:rsid w:val="004274A6"/>
    <w:rsid w:val="004279CC"/>
    <w:rsid w:val="00433941"/>
    <w:rsid w:val="00434640"/>
    <w:rsid w:val="0044235B"/>
    <w:rsid w:val="00442CBB"/>
    <w:rsid w:val="0045311F"/>
    <w:rsid w:val="004574D7"/>
    <w:rsid w:val="0046561B"/>
    <w:rsid w:val="004659BF"/>
    <w:rsid w:val="00465C78"/>
    <w:rsid w:val="00470D31"/>
    <w:rsid w:val="004736E5"/>
    <w:rsid w:val="00473EF0"/>
    <w:rsid w:val="00474155"/>
    <w:rsid w:val="004770F3"/>
    <w:rsid w:val="004833A5"/>
    <w:rsid w:val="00483F30"/>
    <w:rsid w:val="004863FE"/>
    <w:rsid w:val="00494A59"/>
    <w:rsid w:val="00496D54"/>
    <w:rsid w:val="004A2060"/>
    <w:rsid w:val="004A4CEB"/>
    <w:rsid w:val="004A767B"/>
    <w:rsid w:val="004B0163"/>
    <w:rsid w:val="004C2EFC"/>
    <w:rsid w:val="004C40A9"/>
    <w:rsid w:val="004C7BB5"/>
    <w:rsid w:val="004D760B"/>
    <w:rsid w:val="004D7A8B"/>
    <w:rsid w:val="004F10E0"/>
    <w:rsid w:val="00510778"/>
    <w:rsid w:val="00513C2E"/>
    <w:rsid w:val="00516E2F"/>
    <w:rsid w:val="00521DA1"/>
    <w:rsid w:val="0052315E"/>
    <w:rsid w:val="00525357"/>
    <w:rsid w:val="00533ED0"/>
    <w:rsid w:val="00536456"/>
    <w:rsid w:val="005424E7"/>
    <w:rsid w:val="00545960"/>
    <w:rsid w:val="00546453"/>
    <w:rsid w:val="005467C7"/>
    <w:rsid w:val="005469FF"/>
    <w:rsid w:val="005544E5"/>
    <w:rsid w:val="00555FF0"/>
    <w:rsid w:val="00557062"/>
    <w:rsid w:val="00560611"/>
    <w:rsid w:val="00562E77"/>
    <w:rsid w:val="00570790"/>
    <w:rsid w:val="005722D6"/>
    <w:rsid w:val="00575B27"/>
    <w:rsid w:val="00580DCC"/>
    <w:rsid w:val="00581721"/>
    <w:rsid w:val="005823E4"/>
    <w:rsid w:val="0058564E"/>
    <w:rsid w:val="005959F1"/>
    <w:rsid w:val="00595DC9"/>
    <w:rsid w:val="005B5C3B"/>
    <w:rsid w:val="005C0AA1"/>
    <w:rsid w:val="005C63ED"/>
    <w:rsid w:val="005D3732"/>
    <w:rsid w:val="005E7269"/>
    <w:rsid w:val="00612C5D"/>
    <w:rsid w:val="00612FB7"/>
    <w:rsid w:val="00620F7A"/>
    <w:rsid w:val="00622811"/>
    <w:rsid w:val="00625EBA"/>
    <w:rsid w:val="006266A6"/>
    <w:rsid w:val="00627C0C"/>
    <w:rsid w:val="00636937"/>
    <w:rsid w:val="00642739"/>
    <w:rsid w:val="00645F1A"/>
    <w:rsid w:val="0065171E"/>
    <w:rsid w:val="0065695E"/>
    <w:rsid w:val="00656DF8"/>
    <w:rsid w:val="0066228C"/>
    <w:rsid w:val="00675559"/>
    <w:rsid w:val="00680057"/>
    <w:rsid w:val="00681D15"/>
    <w:rsid w:val="00682379"/>
    <w:rsid w:val="006826BD"/>
    <w:rsid w:val="006946AC"/>
    <w:rsid w:val="00696458"/>
    <w:rsid w:val="00696C1D"/>
    <w:rsid w:val="006A0C92"/>
    <w:rsid w:val="006A3F97"/>
    <w:rsid w:val="006A5683"/>
    <w:rsid w:val="006A642F"/>
    <w:rsid w:val="006A6F06"/>
    <w:rsid w:val="006A73F6"/>
    <w:rsid w:val="006B2197"/>
    <w:rsid w:val="006C0E07"/>
    <w:rsid w:val="006C46CD"/>
    <w:rsid w:val="006C68DE"/>
    <w:rsid w:val="006D4996"/>
    <w:rsid w:val="006E36A5"/>
    <w:rsid w:val="006E76C8"/>
    <w:rsid w:val="006F20F5"/>
    <w:rsid w:val="007015B6"/>
    <w:rsid w:val="00706E92"/>
    <w:rsid w:val="007111E7"/>
    <w:rsid w:val="00714169"/>
    <w:rsid w:val="00714A0A"/>
    <w:rsid w:val="00714B8D"/>
    <w:rsid w:val="00721D25"/>
    <w:rsid w:val="00727E2F"/>
    <w:rsid w:val="00734496"/>
    <w:rsid w:val="007351DC"/>
    <w:rsid w:val="00736BC8"/>
    <w:rsid w:val="007516CE"/>
    <w:rsid w:val="007532F6"/>
    <w:rsid w:val="007717B7"/>
    <w:rsid w:val="00777312"/>
    <w:rsid w:val="00783522"/>
    <w:rsid w:val="007865F1"/>
    <w:rsid w:val="00796826"/>
    <w:rsid w:val="007A0E92"/>
    <w:rsid w:val="007A5D74"/>
    <w:rsid w:val="007B0E18"/>
    <w:rsid w:val="007B1242"/>
    <w:rsid w:val="007B2521"/>
    <w:rsid w:val="007B47A0"/>
    <w:rsid w:val="007C5B57"/>
    <w:rsid w:val="007D3FA7"/>
    <w:rsid w:val="007D4601"/>
    <w:rsid w:val="007D551B"/>
    <w:rsid w:val="007E180B"/>
    <w:rsid w:val="007E69D9"/>
    <w:rsid w:val="007F17B5"/>
    <w:rsid w:val="007F3391"/>
    <w:rsid w:val="007F385A"/>
    <w:rsid w:val="007F749E"/>
    <w:rsid w:val="00810632"/>
    <w:rsid w:val="0081109C"/>
    <w:rsid w:val="00815670"/>
    <w:rsid w:val="008226A6"/>
    <w:rsid w:val="0083293E"/>
    <w:rsid w:val="00837857"/>
    <w:rsid w:val="0084623E"/>
    <w:rsid w:val="00847E17"/>
    <w:rsid w:val="00851838"/>
    <w:rsid w:val="00875EAA"/>
    <w:rsid w:val="00880967"/>
    <w:rsid w:val="008828B3"/>
    <w:rsid w:val="00887297"/>
    <w:rsid w:val="008A1E20"/>
    <w:rsid w:val="008A36B4"/>
    <w:rsid w:val="008A6B6B"/>
    <w:rsid w:val="008B140B"/>
    <w:rsid w:val="008C512A"/>
    <w:rsid w:val="008C6986"/>
    <w:rsid w:val="008D2D5A"/>
    <w:rsid w:val="008D6342"/>
    <w:rsid w:val="008E5427"/>
    <w:rsid w:val="008F1633"/>
    <w:rsid w:val="008F312A"/>
    <w:rsid w:val="008F6868"/>
    <w:rsid w:val="00917D22"/>
    <w:rsid w:val="00923370"/>
    <w:rsid w:val="00934203"/>
    <w:rsid w:val="009359D7"/>
    <w:rsid w:val="00935F4A"/>
    <w:rsid w:val="00936568"/>
    <w:rsid w:val="009461F1"/>
    <w:rsid w:val="00951D42"/>
    <w:rsid w:val="009559BA"/>
    <w:rsid w:val="009564D5"/>
    <w:rsid w:val="00976848"/>
    <w:rsid w:val="0098096E"/>
    <w:rsid w:val="00983BC7"/>
    <w:rsid w:val="00990A42"/>
    <w:rsid w:val="00992135"/>
    <w:rsid w:val="0099533F"/>
    <w:rsid w:val="009A3509"/>
    <w:rsid w:val="009B4557"/>
    <w:rsid w:val="009B762D"/>
    <w:rsid w:val="009C7B12"/>
    <w:rsid w:val="009D2DB6"/>
    <w:rsid w:val="009E01C4"/>
    <w:rsid w:val="009E2157"/>
    <w:rsid w:val="009E3FD7"/>
    <w:rsid w:val="009E7DD3"/>
    <w:rsid w:val="009F3A3D"/>
    <w:rsid w:val="009F42E7"/>
    <w:rsid w:val="009F601F"/>
    <w:rsid w:val="009F64E3"/>
    <w:rsid w:val="00A01371"/>
    <w:rsid w:val="00A02DDC"/>
    <w:rsid w:val="00A03EB8"/>
    <w:rsid w:val="00A12F9C"/>
    <w:rsid w:val="00A16E22"/>
    <w:rsid w:val="00A21DCA"/>
    <w:rsid w:val="00A25238"/>
    <w:rsid w:val="00A253EC"/>
    <w:rsid w:val="00A30140"/>
    <w:rsid w:val="00A36B62"/>
    <w:rsid w:val="00A4171E"/>
    <w:rsid w:val="00A426FF"/>
    <w:rsid w:val="00A44454"/>
    <w:rsid w:val="00A46C7E"/>
    <w:rsid w:val="00A52998"/>
    <w:rsid w:val="00A56E59"/>
    <w:rsid w:val="00A629F8"/>
    <w:rsid w:val="00A753D9"/>
    <w:rsid w:val="00A75DBB"/>
    <w:rsid w:val="00A81534"/>
    <w:rsid w:val="00A834A3"/>
    <w:rsid w:val="00A85BD6"/>
    <w:rsid w:val="00A90F7A"/>
    <w:rsid w:val="00A94043"/>
    <w:rsid w:val="00A96385"/>
    <w:rsid w:val="00AC3321"/>
    <w:rsid w:val="00AC4852"/>
    <w:rsid w:val="00AD1D2F"/>
    <w:rsid w:val="00AD2856"/>
    <w:rsid w:val="00AE1611"/>
    <w:rsid w:val="00AE5538"/>
    <w:rsid w:val="00AE5BDB"/>
    <w:rsid w:val="00AE7592"/>
    <w:rsid w:val="00AF584B"/>
    <w:rsid w:val="00B00839"/>
    <w:rsid w:val="00B03669"/>
    <w:rsid w:val="00B0780A"/>
    <w:rsid w:val="00B1233A"/>
    <w:rsid w:val="00B149A8"/>
    <w:rsid w:val="00B16BE3"/>
    <w:rsid w:val="00B21C4D"/>
    <w:rsid w:val="00B26A47"/>
    <w:rsid w:val="00B332D6"/>
    <w:rsid w:val="00B34B27"/>
    <w:rsid w:val="00B367CF"/>
    <w:rsid w:val="00B4635F"/>
    <w:rsid w:val="00B51736"/>
    <w:rsid w:val="00B57DFF"/>
    <w:rsid w:val="00B60F72"/>
    <w:rsid w:val="00B63F70"/>
    <w:rsid w:val="00B71475"/>
    <w:rsid w:val="00B726DF"/>
    <w:rsid w:val="00B75BCF"/>
    <w:rsid w:val="00B8214E"/>
    <w:rsid w:val="00B93127"/>
    <w:rsid w:val="00B93360"/>
    <w:rsid w:val="00BA68B1"/>
    <w:rsid w:val="00BB56CE"/>
    <w:rsid w:val="00BB72FF"/>
    <w:rsid w:val="00BB7C6A"/>
    <w:rsid w:val="00BC660A"/>
    <w:rsid w:val="00BD2C28"/>
    <w:rsid w:val="00BD4B5D"/>
    <w:rsid w:val="00BE410F"/>
    <w:rsid w:val="00BE487E"/>
    <w:rsid w:val="00BE639E"/>
    <w:rsid w:val="00BF1B45"/>
    <w:rsid w:val="00BF53CD"/>
    <w:rsid w:val="00C04C49"/>
    <w:rsid w:val="00C11C02"/>
    <w:rsid w:val="00C278B8"/>
    <w:rsid w:val="00C30741"/>
    <w:rsid w:val="00C44CE8"/>
    <w:rsid w:val="00C55B08"/>
    <w:rsid w:val="00C56523"/>
    <w:rsid w:val="00C57555"/>
    <w:rsid w:val="00C60B65"/>
    <w:rsid w:val="00C72A36"/>
    <w:rsid w:val="00C761B3"/>
    <w:rsid w:val="00C8230B"/>
    <w:rsid w:val="00C8497B"/>
    <w:rsid w:val="00C8762C"/>
    <w:rsid w:val="00C91FE1"/>
    <w:rsid w:val="00C97030"/>
    <w:rsid w:val="00C97E62"/>
    <w:rsid w:val="00CA0297"/>
    <w:rsid w:val="00CA09AF"/>
    <w:rsid w:val="00CB0B11"/>
    <w:rsid w:val="00CB1264"/>
    <w:rsid w:val="00CB2484"/>
    <w:rsid w:val="00CB37F5"/>
    <w:rsid w:val="00CB4181"/>
    <w:rsid w:val="00CC1CB8"/>
    <w:rsid w:val="00CC3449"/>
    <w:rsid w:val="00CC4B31"/>
    <w:rsid w:val="00CD1AC8"/>
    <w:rsid w:val="00CD1CB4"/>
    <w:rsid w:val="00CE73AF"/>
    <w:rsid w:val="00CF0FD3"/>
    <w:rsid w:val="00CF3958"/>
    <w:rsid w:val="00CF41C4"/>
    <w:rsid w:val="00D01787"/>
    <w:rsid w:val="00D01A51"/>
    <w:rsid w:val="00D15BC8"/>
    <w:rsid w:val="00D210D2"/>
    <w:rsid w:val="00D239CF"/>
    <w:rsid w:val="00D25723"/>
    <w:rsid w:val="00D2681F"/>
    <w:rsid w:val="00D43D7C"/>
    <w:rsid w:val="00D44B3A"/>
    <w:rsid w:val="00D45068"/>
    <w:rsid w:val="00D45A85"/>
    <w:rsid w:val="00D515C4"/>
    <w:rsid w:val="00D55418"/>
    <w:rsid w:val="00D609E0"/>
    <w:rsid w:val="00D646E5"/>
    <w:rsid w:val="00D85F76"/>
    <w:rsid w:val="00D866D3"/>
    <w:rsid w:val="00D91358"/>
    <w:rsid w:val="00D92191"/>
    <w:rsid w:val="00D925FE"/>
    <w:rsid w:val="00D938BC"/>
    <w:rsid w:val="00D957D9"/>
    <w:rsid w:val="00D965B9"/>
    <w:rsid w:val="00DA350C"/>
    <w:rsid w:val="00DA53B8"/>
    <w:rsid w:val="00DC2AAD"/>
    <w:rsid w:val="00DC3037"/>
    <w:rsid w:val="00DC4EEC"/>
    <w:rsid w:val="00DD366A"/>
    <w:rsid w:val="00DD7DBB"/>
    <w:rsid w:val="00DE7E4D"/>
    <w:rsid w:val="00DF0118"/>
    <w:rsid w:val="00DF02E9"/>
    <w:rsid w:val="00DF3195"/>
    <w:rsid w:val="00E00424"/>
    <w:rsid w:val="00E0190D"/>
    <w:rsid w:val="00E10EBD"/>
    <w:rsid w:val="00E23511"/>
    <w:rsid w:val="00E26642"/>
    <w:rsid w:val="00E27523"/>
    <w:rsid w:val="00E31D59"/>
    <w:rsid w:val="00E347BA"/>
    <w:rsid w:val="00E37AC0"/>
    <w:rsid w:val="00E37E34"/>
    <w:rsid w:val="00E4612D"/>
    <w:rsid w:val="00E5024D"/>
    <w:rsid w:val="00E502BC"/>
    <w:rsid w:val="00E51F42"/>
    <w:rsid w:val="00E52FB1"/>
    <w:rsid w:val="00E54DD2"/>
    <w:rsid w:val="00E62554"/>
    <w:rsid w:val="00E6287B"/>
    <w:rsid w:val="00E74DC8"/>
    <w:rsid w:val="00E77E94"/>
    <w:rsid w:val="00E845D6"/>
    <w:rsid w:val="00E85306"/>
    <w:rsid w:val="00E9773F"/>
    <w:rsid w:val="00EB69DC"/>
    <w:rsid w:val="00EC2588"/>
    <w:rsid w:val="00EC77A5"/>
    <w:rsid w:val="00ED23BE"/>
    <w:rsid w:val="00EE0CFF"/>
    <w:rsid w:val="00EE2096"/>
    <w:rsid w:val="00EF2FD7"/>
    <w:rsid w:val="00EF7A9E"/>
    <w:rsid w:val="00F03208"/>
    <w:rsid w:val="00F07CAA"/>
    <w:rsid w:val="00F10FB4"/>
    <w:rsid w:val="00F20CD5"/>
    <w:rsid w:val="00F21A31"/>
    <w:rsid w:val="00F25D4E"/>
    <w:rsid w:val="00F262CD"/>
    <w:rsid w:val="00F31606"/>
    <w:rsid w:val="00F3375D"/>
    <w:rsid w:val="00F37C23"/>
    <w:rsid w:val="00F41F10"/>
    <w:rsid w:val="00F42767"/>
    <w:rsid w:val="00F43395"/>
    <w:rsid w:val="00F464AF"/>
    <w:rsid w:val="00F54095"/>
    <w:rsid w:val="00F60057"/>
    <w:rsid w:val="00F654B9"/>
    <w:rsid w:val="00F6729B"/>
    <w:rsid w:val="00F75397"/>
    <w:rsid w:val="00F75451"/>
    <w:rsid w:val="00F757B9"/>
    <w:rsid w:val="00F75E22"/>
    <w:rsid w:val="00F76C62"/>
    <w:rsid w:val="00F81025"/>
    <w:rsid w:val="00F832CE"/>
    <w:rsid w:val="00F84C30"/>
    <w:rsid w:val="00F85D30"/>
    <w:rsid w:val="00F8751B"/>
    <w:rsid w:val="00F9096B"/>
    <w:rsid w:val="00F915D9"/>
    <w:rsid w:val="00F91DEB"/>
    <w:rsid w:val="00FA270D"/>
    <w:rsid w:val="00FA2813"/>
    <w:rsid w:val="00FB238E"/>
    <w:rsid w:val="00FB4B76"/>
    <w:rsid w:val="00FB4DB4"/>
    <w:rsid w:val="00FB56F5"/>
    <w:rsid w:val="00FB5E8F"/>
    <w:rsid w:val="00FB5F31"/>
    <w:rsid w:val="00FC002C"/>
    <w:rsid w:val="00FC1388"/>
    <w:rsid w:val="00FC24C1"/>
    <w:rsid w:val="00FC321E"/>
    <w:rsid w:val="00FC48D5"/>
    <w:rsid w:val="00FC4904"/>
    <w:rsid w:val="00FC5DA5"/>
    <w:rsid w:val="00FD5312"/>
    <w:rsid w:val="00FD5624"/>
    <w:rsid w:val="00FD6917"/>
    <w:rsid w:val="00FE4864"/>
    <w:rsid w:val="00FE6741"/>
    <w:rsid w:val="00FE7315"/>
    <w:rsid w:val="00FE7E93"/>
    <w:rsid w:val="00FF10CA"/>
    <w:rsid w:val="00FF196C"/>
    <w:rsid w:val="00FF5817"/>
    <w:rsid w:val="00FF65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0B52"/>
  <w15:docId w15:val="{063985E7-9F33-42A9-AF9E-06DCC5B6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hanging="10"/>
      <w:jc w:val="both"/>
    </w:pPr>
    <w:rPr>
      <w:rFonts w:ascii="Times New Roman" w:eastAsia="Times New Roman" w:hAnsi="Times New Roman" w:cs="Times New Roman"/>
      <w:color w:val="000000"/>
      <w:sz w:val="24"/>
    </w:rPr>
  </w:style>
  <w:style w:type="paragraph" w:styleId="Ttulo1">
    <w:name w:val="heading 1"/>
    <w:next w:val="Normal"/>
    <w:link w:val="Ttulo1Char"/>
    <w:uiPriority w:val="9"/>
    <w:qFormat/>
    <w:pPr>
      <w:keepNext/>
      <w:keepLines/>
      <w:numPr>
        <w:numId w:val="5"/>
      </w:numPr>
      <w:spacing w:after="10" w:line="249" w:lineRule="auto"/>
      <w:ind w:left="10" w:hanging="10"/>
      <w:outlineLvl w:val="0"/>
    </w:pPr>
    <w:rPr>
      <w:rFonts w:ascii="Times New Roman" w:eastAsia="Times New Roman" w:hAnsi="Times New Roman" w:cs="Times New Roman"/>
      <w:b/>
      <w:color w:val="000000"/>
      <w:sz w:val="24"/>
    </w:rPr>
  </w:style>
  <w:style w:type="paragraph" w:styleId="Ttulo2">
    <w:name w:val="heading 2"/>
    <w:next w:val="Normal"/>
    <w:link w:val="Ttulo2Char"/>
    <w:uiPriority w:val="9"/>
    <w:unhideWhenUsed/>
    <w:qFormat/>
    <w:pPr>
      <w:keepNext/>
      <w:keepLines/>
      <w:numPr>
        <w:ilvl w:val="1"/>
        <w:numId w:val="5"/>
      </w:numPr>
      <w:spacing w:after="10" w:line="249" w:lineRule="auto"/>
      <w:ind w:left="10" w:hanging="10"/>
      <w:outlineLvl w:val="1"/>
    </w:pPr>
    <w:rPr>
      <w:rFonts w:ascii="Times New Roman" w:eastAsia="Times New Roman" w:hAnsi="Times New Roman" w:cs="Times New Roman"/>
      <w:b/>
      <w:color w:val="000000"/>
      <w:sz w:val="24"/>
    </w:rPr>
  </w:style>
  <w:style w:type="paragraph" w:styleId="Ttulo3">
    <w:name w:val="heading 3"/>
    <w:next w:val="Normal"/>
    <w:link w:val="Ttulo3Char"/>
    <w:uiPriority w:val="9"/>
    <w:unhideWhenUsed/>
    <w:qFormat/>
    <w:pPr>
      <w:keepNext/>
      <w:keepLines/>
      <w:numPr>
        <w:ilvl w:val="2"/>
        <w:numId w:val="5"/>
      </w:numPr>
      <w:spacing w:after="10" w:line="249" w:lineRule="auto"/>
      <w:ind w:left="10" w:hanging="10"/>
      <w:outlineLvl w:val="2"/>
    </w:pPr>
    <w:rPr>
      <w:rFonts w:ascii="Times New Roman" w:eastAsia="Times New Roman" w:hAnsi="Times New Roman" w:cs="Times New Roman"/>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 w:type="character" w:customStyle="1" w:styleId="Ttulo2Char">
    <w:name w:val="Título 2 Char"/>
    <w:link w:val="Ttulo2"/>
    <w:rPr>
      <w:rFonts w:ascii="Times New Roman" w:eastAsia="Times New Roman" w:hAnsi="Times New Roman" w:cs="Times New Roman"/>
      <w:b/>
      <w:color w:val="000000"/>
      <w:sz w:val="24"/>
    </w:rPr>
  </w:style>
  <w:style w:type="character" w:customStyle="1" w:styleId="Ttulo3Char">
    <w:name w:val="Título 3 Char"/>
    <w:link w:val="Ttulo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epargpadro"/>
    <w:uiPriority w:val="99"/>
    <w:unhideWhenUsed/>
    <w:rsid w:val="00024066"/>
    <w:rPr>
      <w:color w:val="0563C1" w:themeColor="hyperlink"/>
      <w:u w:val="single"/>
    </w:rPr>
  </w:style>
  <w:style w:type="character" w:styleId="MenoPendente">
    <w:name w:val="Unresolved Mention"/>
    <w:basedOn w:val="Fontepargpadro"/>
    <w:uiPriority w:val="99"/>
    <w:semiHidden/>
    <w:unhideWhenUsed/>
    <w:rsid w:val="00024066"/>
    <w:rPr>
      <w:color w:val="605E5C"/>
      <w:shd w:val="clear" w:color="auto" w:fill="E1DFDD"/>
    </w:rPr>
  </w:style>
  <w:style w:type="paragraph" w:styleId="PargrafodaLista">
    <w:name w:val="List Paragraph"/>
    <w:basedOn w:val="Normal"/>
    <w:uiPriority w:val="34"/>
    <w:qFormat/>
    <w:rsid w:val="00C30741"/>
    <w:pPr>
      <w:ind w:left="720"/>
      <w:contextualSpacing/>
    </w:pPr>
  </w:style>
  <w:style w:type="character" w:styleId="Refdecomentrio">
    <w:name w:val="annotation reference"/>
    <w:basedOn w:val="Fontepargpadro"/>
    <w:uiPriority w:val="99"/>
    <w:semiHidden/>
    <w:unhideWhenUsed/>
    <w:rsid w:val="006A0C92"/>
    <w:rPr>
      <w:sz w:val="16"/>
      <w:szCs w:val="16"/>
    </w:rPr>
  </w:style>
  <w:style w:type="paragraph" w:styleId="Textodecomentrio">
    <w:name w:val="annotation text"/>
    <w:basedOn w:val="Normal"/>
    <w:link w:val="TextodecomentrioChar"/>
    <w:uiPriority w:val="99"/>
    <w:semiHidden/>
    <w:unhideWhenUsed/>
    <w:rsid w:val="006A0C9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A0C92"/>
    <w:rPr>
      <w:rFonts w:ascii="Times New Roman" w:eastAsia="Times New Roman" w:hAnsi="Times New Roman" w:cs="Times New Roman"/>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6A0C92"/>
    <w:rPr>
      <w:b/>
      <w:bCs/>
    </w:rPr>
  </w:style>
  <w:style w:type="character" w:customStyle="1" w:styleId="AssuntodocomentrioChar">
    <w:name w:val="Assunto do comentário Char"/>
    <w:basedOn w:val="TextodecomentrioChar"/>
    <w:link w:val="Assuntodocomentrio"/>
    <w:uiPriority w:val="99"/>
    <w:semiHidden/>
    <w:rsid w:val="006A0C92"/>
    <w:rPr>
      <w:rFonts w:ascii="Times New Roman" w:eastAsia="Times New Roman" w:hAnsi="Times New Roman" w:cs="Times New Roman"/>
      <w:b/>
      <w:bCs/>
      <w:color w:val="000000"/>
      <w:sz w:val="20"/>
      <w:szCs w:val="20"/>
    </w:rPr>
  </w:style>
  <w:style w:type="character" w:customStyle="1" w:styleId="fontstyle01">
    <w:name w:val="fontstyle01"/>
    <w:basedOn w:val="Fontepargpadro"/>
    <w:rsid w:val="006A0C92"/>
    <w:rPr>
      <w:rFonts w:ascii="CpplryAdvTTb5929f4c" w:hAnsi="CpplryAdvTTb5929f4c" w:hint="default"/>
      <w:b w:val="0"/>
      <w:bCs w:val="0"/>
      <w:i w:val="0"/>
      <w:iCs w:val="0"/>
      <w:color w:val="131413"/>
      <w:sz w:val="16"/>
      <w:szCs w:val="16"/>
    </w:rPr>
  </w:style>
  <w:style w:type="character" w:customStyle="1" w:styleId="fontstyle21">
    <w:name w:val="fontstyle21"/>
    <w:basedOn w:val="Fontepargpadro"/>
    <w:rsid w:val="006A0C92"/>
    <w:rPr>
      <w:rFonts w:ascii="DfpvjqAdvTTb5929f4c+20" w:hAnsi="DfpvjqAdvTTb5929f4c+20" w:hint="default"/>
      <w:b w:val="0"/>
      <w:bCs w:val="0"/>
      <w:i w:val="0"/>
      <w:iCs w:val="0"/>
      <w:color w:val="13141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9557">
      <w:bodyDiv w:val="1"/>
      <w:marLeft w:val="0"/>
      <w:marRight w:val="0"/>
      <w:marTop w:val="0"/>
      <w:marBottom w:val="0"/>
      <w:divBdr>
        <w:top w:val="none" w:sz="0" w:space="0" w:color="auto"/>
        <w:left w:val="none" w:sz="0" w:space="0" w:color="auto"/>
        <w:bottom w:val="none" w:sz="0" w:space="0" w:color="auto"/>
        <w:right w:val="none" w:sz="0" w:space="0" w:color="auto"/>
      </w:divBdr>
    </w:div>
    <w:div w:id="475882027">
      <w:bodyDiv w:val="1"/>
      <w:marLeft w:val="0"/>
      <w:marRight w:val="0"/>
      <w:marTop w:val="0"/>
      <w:marBottom w:val="0"/>
      <w:divBdr>
        <w:top w:val="none" w:sz="0" w:space="0" w:color="auto"/>
        <w:left w:val="none" w:sz="0" w:space="0" w:color="auto"/>
        <w:bottom w:val="none" w:sz="0" w:space="0" w:color="auto"/>
        <w:right w:val="none" w:sz="0" w:space="0" w:color="auto"/>
      </w:divBdr>
    </w:div>
    <w:div w:id="619916521">
      <w:bodyDiv w:val="1"/>
      <w:marLeft w:val="0"/>
      <w:marRight w:val="0"/>
      <w:marTop w:val="0"/>
      <w:marBottom w:val="0"/>
      <w:divBdr>
        <w:top w:val="none" w:sz="0" w:space="0" w:color="auto"/>
        <w:left w:val="none" w:sz="0" w:space="0" w:color="auto"/>
        <w:bottom w:val="none" w:sz="0" w:space="0" w:color="auto"/>
        <w:right w:val="none" w:sz="0" w:space="0" w:color="auto"/>
      </w:divBdr>
    </w:div>
    <w:div w:id="719868239">
      <w:bodyDiv w:val="1"/>
      <w:marLeft w:val="0"/>
      <w:marRight w:val="0"/>
      <w:marTop w:val="0"/>
      <w:marBottom w:val="0"/>
      <w:divBdr>
        <w:top w:val="none" w:sz="0" w:space="0" w:color="auto"/>
        <w:left w:val="none" w:sz="0" w:space="0" w:color="auto"/>
        <w:bottom w:val="none" w:sz="0" w:space="0" w:color="auto"/>
        <w:right w:val="none" w:sz="0" w:space="0" w:color="auto"/>
      </w:divBdr>
    </w:div>
    <w:div w:id="1181702031">
      <w:bodyDiv w:val="1"/>
      <w:marLeft w:val="0"/>
      <w:marRight w:val="0"/>
      <w:marTop w:val="0"/>
      <w:marBottom w:val="0"/>
      <w:divBdr>
        <w:top w:val="none" w:sz="0" w:space="0" w:color="auto"/>
        <w:left w:val="none" w:sz="0" w:space="0" w:color="auto"/>
        <w:bottom w:val="none" w:sz="0" w:space="0" w:color="auto"/>
        <w:right w:val="none" w:sz="0" w:space="0" w:color="auto"/>
      </w:divBdr>
    </w:div>
    <w:div w:id="1632127107">
      <w:bodyDiv w:val="1"/>
      <w:marLeft w:val="0"/>
      <w:marRight w:val="0"/>
      <w:marTop w:val="0"/>
      <w:marBottom w:val="0"/>
      <w:divBdr>
        <w:top w:val="none" w:sz="0" w:space="0" w:color="auto"/>
        <w:left w:val="none" w:sz="0" w:space="0" w:color="auto"/>
        <w:bottom w:val="none" w:sz="0" w:space="0" w:color="auto"/>
        <w:right w:val="none" w:sz="0" w:space="0" w:color="auto"/>
      </w:divBdr>
    </w:div>
    <w:div w:id="1662583831">
      <w:bodyDiv w:val="1"/>
      <w:marLeft w:val="0"/>
      <w:marRight w:val="0"/>
      <w:marTop w:val="0"/>
      <w:marBottom w:val="0"/>
      <w:divBdr>
        <w:top w:val="none" w:sz="0" w:space="0" w:color="auto"/>
        <w:left w:val="none" w:sz="0" w:space="0" w:color="auto"/>
        <w:bottom w:val="none" w:sz="0" w:space="0" w:color="auto"/>
        <w:right w:val="none" w:sz="0" w:space="0" w:color="auto"/>
      </w:divBdr>
    </w:div>
    <w:div w:id="1718894633">
      <w:bodyDiv w:val="1"/>
      <w:marLeft w:val="0"/>
      <w:marRight w:val="0"/>
      <w:marTop w:val="0"/>
      <w:marBottom w:val="0"/>
      <w:divBdr>
        <w:top w:val="none" w:sz="0" w:space="0" w:color="auto"/>
        <w:left w:val="none" w:sz="0" w:space="0" w:color="auto"/>
        <w:bottom w:val="none" w:sz="0" w:space="0" w:color="auto"/>
        <w:right w:val="none" w:sz="0" w:space="0" w:color="auto"/>
      </w:divBdr>
    </w:div>
    <w:div w:id="1904368356">
      <w:bodyDiv w:val="1"/>
      <w:marLeft w:val="0"/>
      <w:marRight w:val="0"/>
      <w:marTop w:val="0"/>
      <w:marBottom w:val="0"/>
      <w:divBdr>
        <w:top w:val="none" w:sz="0" w:space="0" w:color="auto"/>
        <w:left w:val="none" w:sz="0" w:space="0" w:color="auto"/>
        <w:bottom w:val="none" w:sz="0" w:space="0" w:color="auto"/>
        <w:right w:val="none" w:sz="0" w:space="0" w:color="auto"/>
      </w:divBdr>
    </w:div>
    <w:div w:id="192479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ede.rs.gov.br/portal/apps/experiencebuilder/experience/?id=678ae8d507cb492bb99c4f341b38c281" TargetMode="External"/><Relationship Id="rId18" Type="http://schemas.openxmlformats.org/officeDocument/2006/relationships/hyperlink" Target="https://brasil.mapbiomas.org/colecoes-mapbiomas/" TargetMode="External"/><Relationship Id="rId26" Type="http://schemas.openxmlformats.org/officeDocument/2006/relationships/hyperlink" Target="https://doi.org/10.1371/journal" TargetMode="External"/><Relationship Id="rId3" Type="http://schemas.openxmlformats.org/officeDocument/2006/relationships/settings" Target="settings.xml"/><Relationship Id="rId21" Type="http://schemas.openxmlformats.org/officeDocument/2006/relationships/hyperlink" Target="http://200.198.173.165/tabnet/" TargetMode="External"/><Relationship Id="rId7" Type="http://schemas.openxmlformats.org/officeDocument/2006/relationships/image" Target="media/image1.gif"/><Relationship Id="rId12" Type="http://schemas.openxmlformats.org/officeDocument/2006/relationships/hyperlink" Target="https://iede.rs.gov.br/portal/apps/experiencebuilder/experience/?id=678ae8d507cb492bb99c4f341b38c281" TargetMode="External"/><Relationship Id="rId17" Type="http://schemas.openxmlformats.org/officeDocument/2006/relationships/hyperlink" Target="https://s2id.mi.gov.br/paginas/series/" TargetMode="External"/><Relationship Id="rId25" Type="http://schemas.openxmlformats.org/officeDocument/2006/relationships/hyperlink" Target="https://doi.org/10.1016/j.trstmh.2010.07.002" TargetMode="External"/><Relationship Id="rId2" Type="http://schemas.openxmlformats.org/officeDocument/2006/relationships/styles" Target="styles.xml"/><Relationship Id="rId16" Type="http://schemas.openxmlformats.org/officeDocument/2006/relationships/hyperlink" Target="https://chc.ucsb.edu/data/chirps" TargetMode="External"/><Relationship Id="rId20" Type="http://schemas.openxmlformats.org/officeDocument/2006/relationships/hyperlink" Target="https://www.ibge.gov.br/geociencias/organizacao-do-territorio/malhas-territoriais/15774-malhas.html"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guaesaneamento.org.br/municipios-e-saneamento/rs/tres-coroas" TargetMode="External"/><Relationship Id="rId24" Type="http://schemas.openxmlformats.org/officeDocument/2006/relationships/hyperlink" Target="https://disasterscharter.org/web/guest/activations/-/article/flood-in-brazil-activation-875-" TargetMode="External"/><Relationship Id="rId5" Type="http://schemas.openxmlformats.org/officeDocument/2006/relationships/footnotes" Target="footnotes.xml"/><Relationship Id="rId15" Type="http://schemas.openxmlformats.org/officeDocument/2006/relationships/hyperlink" Target="http://www.dsr.inpe.br/topodata/index.php" TargetMode="External"/><Relationship Id="rId23" Type="http://schemas.openxmlformats.org/officeDocument/2006/relationships/hyperlink" Target="https://doi.org/10.1186/s12879-018-3537-3" TargetMode="External"/><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s://brasil.mapbiomas.org/colecoes-mapbioma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200.198.173.165/tabnet/" TargetMode="External"/><Relationship Id="rId22" Type="http://schemas.openxmlformats.org/officeDocument/2006/relationships/hyperlink" Target="https://doi.org/10.1007/978-3-662-45059-8_5"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764</TotalTime>
  <Pages>6</Pages>
  <Words>1274</Words>
  <Characters>6880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Débora Dutra</dc:creator>
  <cp:keywords/>
  <cp:lastModifiedBy>Vinicius Lima</cp:lastModifiedBy>
  <cp:revision>513</cp:revision>
  <cp:lastPrinted>2024-07-05T15:53:00Z</cp:lastPrinted>
  <dcterms:created xsi:type="dcterms:W3CDTF">2024-06-28T21:50:00Z</dcterms:created>
  <dcterms:modified xsi:type="dcterms:W3CDTF">2024-07-12T06:08:00Z</dcterms:modified>
</cp:coreProperties>
</file>