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F69" w:rsidRDefault="007B2F69" w:rsidP="007B2F69">
      <w:pPr>
        <w:jc w:val="center"/>
        <w:rPr>
          <w:b/>
        </w:rPr>
      </w:pPr>
      <w:r>
        <w:rPr>
          <w:b/>
        </w:rPr>
        <w:t>Estudo da A</w:t>
      </w:r>
      <w:r w:rsidRPr="007B2F69">
        <w:rPr>
          <w:b/>
        </w:rPr>
        <w:t xml:space="preserve">nálise </w:t>
      </w:r>
      <w:r>
        <w:rPr>
          <w:b/>
        </w:rPr>
        <w:t>E</w:t>
      </w:r>
      <w:r w:rsidRPr="007B2F69">
        <w:rPr>
          <w:b/>
        </w:rPr>
        <w:t xml:space="preserve">spacial </w:t>
      </w:r>
      <w:r>
        <w:rPr>
          <w:b/>
        </w:rPr>
        <w:t>U</w:t>
      </w:r>
      <w:r w:rsidRPr="007B2F69">
        <w:rPr>
          <w:b/>
        </w:rPr>
        <w:t xml:space="preserve">tilizando um </w:t>
      </w:r>
      <w:r>
        <w:rPr>
          <w:b/>
        </w:rPr>
        <w:t>M</w:t>
      </w:r>
      <w:r w:rsidRPr="007B2F69">
        <w:rPr>
          <w:b/>
        </w:rPr>
        <w:t xml:space="preserve">odelo </w:t>
      </w:r>
      <w:r>
        <w:rPr>
          <w:b/>
        </w:rPr>
        <w:t>B</w:t>
      </w:r>
      <w:r w:rsidRPr="007B2F69">
        <w:rPr>
          <w:b/>
        </w:rPr>
        <w:t xml:space="preserve">aseado em </w:t>
      </w:r>
      <w:r>
        <w:rPr>
          <w:b/>
        </w:rPr>
        <w:t>I</w:t>
      </w:r>
      <w:r w:rsidRPr="007B2F69">
        <w:rPr>
          <w:b/>
        </w:rPr>
        <w:t>ndivíduo</w:t>
      </w:r>
    </w:p>
    <w:p w:rsidR="007B2F69" w:rsidRPr="007B2F69" w:rsidRDefault="007B2F69" w:rsidP="007B2F69">
      <w:pPr>
        <w:jc w:val="center"/>
      </w:pPr>
      <w:r>
        <w:t>Mainara Biazati Gouveia</w:t>
      </w:r>
    </w:p>
    <w:p w:rsidR="007B2F69" w:rsidRPr="007B2F69" w:rsidRDefault="007B2F69" w:rsidP="007B2F69">
      <w:pPr>
        <w:jc w:val="center"/>
        <w:rPr>
          <w:b/>
        </w:rPr>
      </w:pPr>
    </w:p>
    <w:p w:rsidR="00A774C8" w:rsidRPr="007B2F69" w:rsidRDefault="00A774C8" w:rsidP="007B2F69">
      <w:pPr>
        <w:pStyle w:val="Seo"/>
        <w:numPr>
          <w:ilvl w:val="0"/>
          <w:numId w:val="1"/>
        </w:numPr>
        <w:spacing w:before="0" w:after="0"/>
      </w:pPr>
      <w:r w:rsidRPr="007B2F69">
        <w:t>Introdução</w:t>
      </w:r>
    </w:p>
    <w:p w:rsidR="00E77ECD" w:rsidRDefault="00E77ECD" w:rsidP="00E77ECD">
      <w:pPr>
        <w:pStyle w:val="Seo"/>
        <w:spacing w:before="0" w:after="0"/>
        <w:ind w:left="360"/>
      </w:pPr>
    </w:p>
    <w:p w:rsidR="00A774C8" w:rsidRPr="00E77ECD" w:rsidRDefault="00A774C8" w:rsidP="00E77ECD">
      <w:pPr>
        <w:pStyle w:val="Normal1"/>
        <w:spacing w:after="0" w:line="360" w:lineRule="auto"/>
        <w:ind w:firstLine="426"/>
        <w:jc w:val="both"/>
        <w:rPr>
          <w:rFonts w:ascii="Times New Roman" w:hAnsi="Times New Roman"/>
        </w:rPr>
      </w:pPr>
      <w:r w:rsidRPr="00E77ECD">
        <w:rPr>
          <w:rFonts w:ascii="Times New Roman" w:hAnsi="Times New Roman"/>
        </w:rPr>
        <w:t xml:space="preserve">A sardinha verdadeira </w:t>
      </w:r>
      <w:r w:rsidRPr="00E77ECD">
        <w:rPr>
          <w:rStyle w:val="fontstyle01"/>
          <w:rFonts w:ascii="Times New Roman" w:hAnsi="Times New Roman"/>
        </w:rPr>
        <w:t>(</w:t>
      </w:r>
      <w:r w:rsidRPr="00E77ECD">
        <w:rPr>
          <w:rStyle w:val="fontstyle21"/>
          <w:rFonts w:ascii="Times New Roman" w:hAnsi="Times New Roman"/>
        </w:rPr>
        <w:t>Sardinella brasiliensis</w:t>
      </w:r>
      <w:r w:rsidRPr="00E77ECD">
        <w:rPr>
          <w:rStyle w:val="fontstyle01"/>
          <w:rFonts w:ascii="Times New Roman" w:hAnsi="Times New Roman"/>
        </w:rPr>
        <w:t xml:space="preserve">) </w:t>
      </w:r>
      <w:r w:rsidRPr="00E77ECD">
        <w:rPr>
          <w:rFonts w:ascii="Times New Roman" w:hAnsi="Times New Roman"/>
        </w:rPr>
        <w:t>é a principal atividade pesqueira marinha do Brasil (Cergole, 1995). Sua espécie cont</w:t>
      </w:r>
      <w:r w:rsidR="00644A46">
        <w:rPr>
          <w:rFonts w:ascii="Times New Roman" w:hAnsi="Times New Roman"/>
        </w:rPr>
        <w:t>r</w:t>
      </w:r>
      <w:r w:rsidRPr="00E77ECD">
        <w:rPr>
          <w:rFonts w:ascii="Times New Roman" w:hAnsi="Times New Roman"/>
        </w:rPr>
        <w:t>ibui com até 15% do estoque realizado por traineiras (Dias-Neto et al., 2011). A série histórica desses desembarques comerciais é caracterizado por oscilações estudadas desde a década de 1950 (Castello, 2007). Extremos estes, atribuídos ao efeito da sobrepesca e fatores ambientais (Matsuura, 1996; Jablosnki e Legey, 2004).</w:t>
      </w:r>
    </w:p>
    <w:p w:rsidR="00A774C8" w:rsidRPr="00E77ECD" w:rsidRDefault="00A774C8" w:rsidP="00E77ECD">
      <w:pPr>
        <w:pStyle w:val="Normal1"/>
        <w:spacing w:after="0" w:line="360" w:lineRule="auto"/>
        <w:ind w:firstLine="426"/>
        <w:jc w:val="both"/>
        <w:rPr>
          <w:rFonts w:ascii="Times New Roman" w:hAnsi="Times New Roman"/>
        </w:rPr>
      </w:pPr>
      <w:r w:rsidRPr="00E77ECD">
        <w:rPr>
          <w:rFonts w:ascii="Times New Roman" w:hAnsi="Times New Roman"/>
        </w:rPr>
        <w:t xml:space="preserve">Contudo, muitas teorias têm tentado explicar o sucesso do recrutamento da espécie (Cole; McGlade, 1998) e não há atualmente, consenso, de quais fatores influenciam simultaneamento no recrutamento (Cury; Roy, 1989; Bakun, 1996) para gerenciar adequadamente as pescarias e garantir uma exploração sustentável (Fréon et al., 2005). Portanto, o desenvolvimento de novas abordagens para o estudo da dinâmica da sardinha, incluindo o uso de dados de sensoriamento remoto, </w:t>
      </w:r>
      <w:r w:rsidR="006E226F" w:rsidRPr="00E77ECD">
        <w:rPr>
          <w:rFonts w:ascii="Times New Roman" w:hAnsi="Times New Roman"/>
        </w:rPr>
        <w:t xml:space="preserve">análise de autocorrelação espacial, </w:t>
      </w:r>
      <w:r w:rsidRPr="00E77ECD">
        <w:rPr>
          <w:rFonts w:ascii="Times New Roman" w:hAnsi="Times New Roman"/>
        </w:rPr>
        <w:t>simulações numéricas, modelos hidrodinâmicos e modelos baseados no indivíduo (MBI), permitem analisar a influência das condições oceânicas e a sua flutuabilidade interanual da pesca (Hugget et al., 2003; Van Der Lingen, 2005; Bernal et al., 2007; Ibaibariaga et al., 2007; Planque et</w:t>
      </w:r>
      <w:r w:rsidR="006E226F" w:rsidRPr="00E77ECD">
        <w:rPr>
          <w:rFonts w:ascii="Times New Roman" w:hAnsi="Times New Roman"/>
        </w:rPr>
        <w:t xml:space="preserve"> al., 2007, Dias et al., 2014). Fatores que contribuem na descrição e visualização das distribuição espacial entre eles. </w:t>
      </w:r>
    </w:p>
    <w:p w:rsidR="00A774C8" w:rsidRPr="00E77ECD" w:rsidRDefault="00A774C8" w:rsidP="00E77ECD">
      <w:pPr>
        <w:pStyle w:val="Normal1"/>
        <w:spacing w:after="0" w:line="360" w:lineRule="auto"/>
        <w:ind w:firstLine="426"/>
        <w:jc w:val="both"/>
        <w:rPr>
          <w:rFonts w:ascii="Times New Roman" w:hAnsi="Times New Roman"/>
        </w:rPr>
      </w:pPr>
      <w:r w:rsidRPr="00E77ECD">
        <w:rPr>
          <w:rFonts w:ascii="Times New Roman" w:hAnsi="Times New Roman"/>
        </w:rPr>
        <w:t>Dessa forma, o presente trabalho investiga a relação entre a circulação superficial oceânica na PCSE no período de reprodução da sardinha e os extremos de desembarques comerciais registrados entre 1980 a 2007 utilizando dados de sensoriamento remoto, simulações numéric</w:t>
      </w:r>
      <w:r w:rsidR="006E226F" w:rsidRPr="00E77ECD">
        <w:rPr>
          <w:rFonts w:ascii="Times New Roman" w:hAnsi="Times New Roman"/>
        </w:rPr>
        <w:t>as em modelos hidrodinâmicos,</w:t>
      </w:r>
      <w:r w:rsidRPr="00E77ECD">
        <w:rPr>
          <w:rFonts w:ascii="Times New Roman" w:hAnsi="Times New Roman"/>
        </w:rPr>
        <w:t xml:space="preserve"> model</w:t>
      </w:r>
      <w:r w:rsidR="006E226F" w:rsidRPr="00E77ECD">
        <w:rPr>
          <w:rFonts w:ascii="Times New Roman" w:hAnsi="Times New Roman"/>
        </w:rPr>
        <w:t>os baseados no indivíduo (MBI) e análise de autocorrelação espacial.</w:t>
      </w:r>
    </w:p>
    <w:p w:rsidR="004200C1" w:rsidRPr="00E77ECD" w:rsidRDefault="00E24DAC" w:rsidP="00E77ECD">
      <w:pPr>
        <w:pStyle w:val="Normal1"/>
        <w:spacing w:after="0" w:line="360" w:lineRule="auto"/>
        <w:ind w:firstLine="426"/>
        <w:jc w:val="both"/>
        <w:rPr>
          <w:rFonts w:ascii="Times New Roman" w:hAnsi="Times New Roman"/>
        </w:rPr>
      </w:pPr>
      <w:r w:rsidRPr="00E77ECD">
        <w:rPr>
          <w:rFonts w:ascii="Times New Roman" w:hAnsi="Times New Roman"/>
        </w:rPr>
        <w:t>Portanto</w:t>
      </w:r>
      <w:r w:rsidR="004200C1" w:rsidRPr="00E77ECD">
        <w:rPr>
          <w:rFonts w:ascii="Times New Roman" w:hAnsi="Times New Roman"/>
        </w:rPr>
        <w:t>, a ideia central é comparar os valores normalizados do atributo numa área com a média dos seus vizinhos, utilizando-se o Índice de Moran, na representação da estatística-territorial e sucessiva visualização de padrões de correlação espaciais dos índices analisados.</w:t>
      </w:r>
    </w:p>
    <w:p w:rsidR="00A774C8" w:rsidRPr="00E77ECD" w:rsidRDefault="00A774C8" w:rsidP="00E77ECD">
      <w:pPr>
        <w:pStyle w:val="Normal1"/>
        <w:spacing w:after="0" w:line="360" w:lineRule="auto"/>
        <w:ind w:firstLine="426"/>
        <w:jc w:val="both"/>
        <w:rPr>
          <w:rFonts w:ascii="Times New Roman" w:hAnsi="Times New Roman"/>
        </w:rPr>
      </w:pPr>
    </w:p>
    <w:p w:rsidR="00A774C8" w:rsidRDefault="00A774C8" w:rsidP="00A774C8">
      <w:pPr>
        <w:pStyle w:val="Normal1"/>
        <w:numPr>
          <w:ilvl w:val="0"/>
          <w:numId w:val="1"/>
        </w:numPr>
        <w:spacing w:after="0" w:line="240" w:lineRule="auto"/>
        <w:jc w:val="both"/>
        <w:rPr>
          <w:rFonts w:ascii="Times New Roman" w:hAnsi="Times New Roman"/>
          <w:b/>
        </w:rPr>
      </w:pPr>
      <w:r w:rsidRPr="00211901">
        <w:rPr>
          <w:rFonts w:ascii="Times New Roman" w:hAnsi="Times New Roman"/>
          <w:b/>
        </w:rPr>
        <w:t>Metodologia de Trabalho</w:t>
      </w:r>
    </w:p>
    <w:p w:rsidR="00E77ECD" w:rsidRPr="00211901" w:rsidRDefault="00E77ECD" w:rsidP="00E77ECD">
      <w:pPr>
        <w:pStyle w:val="Normal1"/>
        <w:spacing w:after="0" w:line="240" w:lineRule="auto"/>
        <w:ind w:left="360"/>
        <w:jc w:val="both"/>
        <w:rPr>
          <w:rFonts w:ascii="Times New Roman" w:hAnsi="Times New Roman"/>
          <w:b/>
        </w:rPr>
      </w:pPr>
    </w:p>
    <w:p w:rsidR="00A774C8" w:rsidRPr="00211901" w:rsidRDefault="00A774C8" w:rsidP="00E77ECD">
      <w:pPr>
        <w:pStyle w:val="Normal1"/>
        <w:spacing w:after="0" w:line="360" w:lineRule="auto"/>
        <w:ind w:firstLine="426"/>
        <w:jc w:val="both"/>
        <w:rPr>
          <w:rFonts w:ascii="Times New Roman" w:hAnsi="Times New Roman"/>
        </w:rPr>
      </w:pPr>
      <w:r>
        <w:rPr>
          <w:rFonts w:ascii="Times New Roman" w:hAnsi="Times New Roman"/>
        </w:rPr>
        <w:t>F</w:t>
      </w:r>
      <w:r w:rsidRPr="00211901">
        <w:rPr>
          <w:rFonts w:ascii="Times New Roman" w:hAnsi="Times New Roman"/>
        </w:rPr>
        <w:t xml:space="preserve">oram utilizados dois modelos para </w:t>
      </w:r>
      <w:r>
        <w:rPr>
          <w:rFonts w:ascii="Times New Roman" w:hAnsi="Times New Roman"/>
        </w:rPr>
        <w:t xml:space="preserve">simular </w:t>
      </w:r>
      <w:r w:rsidRPr="00211901">
        <w:rPr>
          <w:rFonts w:ascii="Times New Roman" w:hAnsi="Times New Roman"/>
        </w:rPr>
        <w:t xml:space="preserve">a influência dos processos de circulação oceânica na Plataforma Continental do Sudeste do Brasil (PCSE) </w:t>
      </w:r>
      <w:r>
        <w:rPr>
          <w:rFonts w:ascii="Times New Roman" w:hAnsi="Times New Roman"/>
        </w:rPr>
        <w:t xml:space="preserve">na sobrevivência dos </w:t>
      </w:r>
      <w:r>
        <w:rPr>
          <w:rFonts w:ascii="Times New Roman" w:hAnsi="Times New Roman"/>
        </w:rPr>
        <w:lastRenderedPageBreak/>
        <w:t>ovos e larvas da sardinha</w:t>
      </w:r>
      <w:r w:rsidRPr="00211901">
        <w:rPr>
          <w:rFonts w:ascii="Times New Roman" w:hAnsi="Times New Roman"/>
        </w:rPr>
        <w:t xml:space="preserve"> </w:t>
      </w:r>
      <w:r>
        <w:rPr>
          <w:rFonts w:ascii="Times New Roman" w:hAnsi="Times New Roman"/>
        </w:rPr>
        <w:t>no período de desova anterior a</w:t>
      </w:r>
      <w:r w:rsidRPr="00211901">
        <w:rPr>
          <w:rFonts w:ascii="Times New Roman" w:hAnsi="Times New Roman"/>
        </w:rPr>
        <w:t xml:space="preserve">os extremos de </w:t>
      </w:r>
      <w:r>
        <w:rPr>
          <w:rFonts w:ascii="Times New Roman" w:hAnsi="Times New Roman"/>
        </w:rPr>
        <w:t xml:space="preserve">seus </w:t>
      </w:r>
      <w:r w:rsidRPr="00211901">
        <w:rPr>
          <w:rFonts w:ascii="Times New Roman" w:hAnsi="Times New Roman"/>
        </w:rPr>
        <w:t xml:space="preserve">desembarques comerciais (totais de biomassa em toneladas métricas), </w:t>
      </w:r>
      <w:r>
        <w:rPr>
          <w:rFonts w:ascii="Times New Roman" w:hAnsi="Times New Roman"/>
        </w:rPr>
        <w:t>entre</w:t>
      </w:r>
      <w:r w:rsidRPr="00211901">
        <w:rPr>
          <w:rFonts w:ascii="Times New Roman" w:hAnsi="Times New Roman"/>
        </w:rPr>
        <w:t xml:space="preserve"> 1980 </w:t>
      </w:r>
      <w:r>
        <w:rPr>
          <w:rFonts w:ascii="Times New Roman" w:hAnsi="Times New Roman"/>
        </w:rPr>
        <w:t>e</w:t>
      </w:r>
      <w:r w:rsidRPr="00211901">
        <w:rPr>
          <w:rFonts w:ascii="Times New Roman" w:hAnsi="Times New Roman"/>
        </w:rPr>
        <w:t xml:space="preserve"> 2007. Os processos físicos da PCSE foram simulados pelo modelo tridimensional ROMS (</w:t>
      </w:r>
      <w:r w:rsidRPr="00211901">
        <w:rPr>
          <w:rFonts w:ascii="Times New Roman" w:hAnsi="Times New Roman"/>
          <w:i/>
        </w:rPr>
        <w:t>Regional Ocean Modeling System</w:t>
      </w:r>
      <w:r w:rsidRPr="00211901">
        <w:rPr>
          <w:rFonts w:ascii="Times New Roman" w:hAnsi="Times New Roman"/>
        </w:rPr>
        <w:t>) e o padrão das desovas, dispersão e sobrevivência dos ovos e larvas pelo modelo baseado no indivíduo (MBI – Ichthyop). Ambas abordagens foram semelhantes nos estudos de Brochier et al., (2011); Mbaye et al., (2015); Dias et al., (2014); Da Silva et al., (2015) e Rose et al., (2015). Os dados</w:t>
      </w:r>
      <w:r>
        <w:rPr>
          <w:rFonts w:ascii="Times New Roman" w:hAnsi="Times New Roman"/>
        </w:rPr>
        <w:t xml:space="preserve"> de desembarque comercial da sardinha consolidados pela </w:t>
      </w:r>
      <w:r w:rsidRPr="0074221F">
        <w:rPr>
          <w:rFonts w:ascii="Times New Roman" w:hAnsi="Times New Roman"/>
        </w:rPr>
        <w:t xml:space="preserve">na </w:t>
      </w:r>
      <w:r w:rsidRPr="0087650D">
        <w:rPr>
          <w:rFonts w:ascii="Times New Roman" w:hAnsi="Times New Roman"/>
          <w:i/>
        </w:rPr>
        <w:t>Food and Agriculture Organization</w:t>
      </w:r>
      <w:r w:rsidRPr="0074221F">
        <w:rPr>
          <w:rFonts w:ascii="Times New Roman" w:hAnsi="Times New Roman"/>
        </w:rPr>
        <w:t xml:space="preserve"> (FAO</w:t>
      </w:r>
      <w:r>
        <w:rPr>
          <w:rFonts w:ascii="Times New Roman" w:hAnsi="Times New Roman"/>
        </w:rPr>
        <w:t>, INDICAR O ENDEREÇO DOS DADOS</w:t>
      </w:r>
      <w:r w:rsidRPr="0074221F">
        <w:rPr>
          <w:rFonts w:ascii="Times New Roman" w:hAnsi="Times New Roman"/>
        </w:rPr>
        <w:t>)</w:t>
      </w:r>
      <w:r>
        <w:rPr>
          <w:rFonts w:ascii="Times New Roman" w:hAnsi="Times New Roman"/>
        </w:rPr>
        <w:t xml:space="preserve"> foram utilizados de forma agrupada para toda a área onde ocorre a captura e são considerados adequados </w:t>
      </w:r>
      <w:r w:rsidRPr="00211901">
        <w:rPr>
          <w:rFonts w:ascii="Times New Roman" w:hAnsi="Times New Roman"/>
        </w:rPr>
        <w:t xml:space="preserve">para representar a variabilidade interanual </w:t>
      </w:r>
      <w:r>
        <w:rPr>
          <w:rFonts w:ascii="Times New Roman" w:hAnsi="Times New Roman"/>
        </w:rPr>
        <w:t>d</w:t>
      </w:r>
      <w:r w:rsidRPr="00211901">
        <w:rPr>
          <w:rFonts w:ascii="Times New Roman" w:hAnsi="Times New Roman"/>
        </w:rPr>
        <w:t xml:space="preserve">o estoque </w:t>
      </w:r>
      <w:r>
        <w:rPr>
          <w:rFonts w:ascii="Times New Roman" w:hAnsi="Times New Roman"/>
        </w:rPr>
        <w:t>(</w:t>
      </w:r>
      <w:r w:rsidRPr="00211901">
        <w:rPr>
          <w:rFonts w:ascii="Times New Roman" w:hAnsi="Times New Roman"/>
        </w:rPr>
        <w:t>Sunyé e Servain (1998) e Soares et al. (2011).</w:t>
      </w:r>
    </w:p>
    <w:p w:rsidR="00A774C8" w:rsidRPr="00211901" w:rsidRDefault="00A774C8" w:rsidP="00A774C8">
      <w:pPr>
        <w:pStyle w:val="Normal1"/>
        <w:spacing w:after="0" w:line="240" w:lineRule="auto"/>
        <w:ind w:left="360"/>
        <w:jc w:val="both"/>
        <w:rPr>
          <w:rFonts w:ascii="Times New Roman" w:hAnsi="Times New Roman"/>
          <w:b/>
        </w:rPr>
      </w:pPr>
    </w:p>
    <w:p w:rsidR="00A774C8" w:rsidRDefault="00A774C8" w:rsidP="00A774C8">
      <w:pPr>
        <w:pStyle w:val="Normal1"/>
        <w:numPr>
          <w:ilvl w:val="1"/>
          <w:numId w:val="2"/>
        </w:numPr>
        <w:spacing w:after="0" w:line="240" w:lineRule="auto"/>
        <w:jc w:val="both"/>
        <w:rPr>
          <w:rFonts w:ascii="Times New Roman" w:hAnsi="Times New Roman"/>
          <w:b/>
        </w:rPr>
      </w:pPr>
      <w:r w:rsidRPr="00211901">
        <w:rPr>
          <w:rFonts w:ascii="Times New Roman" w:hAnsi="Times New Roman"/>
          <w:b/>
        </w:rPr>
        <w:t xml:space="preserve"> Configuração e avaliação do modelo hidrodinâmico tridimensional (ROMS)</w:t>
      </w:r>
    </w:p>
    <w:p w:rsidR="00E77ECD" w:rsidRPr="00211901" w:rsidRDefault="00E77ECD" w:rsidP="00E77ECD">
      <w:pPr>
        <w:pStyle w:val="Normal1"/>
        <w:spacing w:after="0" w:line="240" w:lineRule="auto"/>
        <w:ind w:left="360"/>
        <w:jc w:val="both"/>
        <w:rPr>
          <w:rFonts w:ascii="Times New Roman" w:hAnsi="Times New Roman"/>
          <w:b/>
        </w:rPr>
      </w:pPr>
    </w:p>
    <w:p w:rsidR="00A774C8" w:rsidRPr="00211901" w:rsidRDefault="00A774C8" w:rsidP="00E77ECD">
      <w:pPr>
        <w:pStyle w:val="Normal1"/>
        <w:spacing w:after="0" w:line="360" w:lineRule="auto"/>
        <w:ind w:firstLine="426"/>
        <w:jc w:val="both"/>
        <w:rPr>
          <w:rFonts w:ascii="Times New Roman" w:hAnsi="Times New Roman"/>
        </w:rPr>
      </w:pPr>
      <w:r w:rsidRPr="00211901">
        <w:rPr>
          <w:rFonts w:ascii="Times New Roman" w:hAnsi="Times New Roman"/>
        </w:rPr>
        <w:t>O domínio da grade do modelo localiza-se entre 20ºS a 30ºS e 40ºW a 50ºW, definido para coincidir com aquele utilizado no estudo realizado por Dias et al., (2014), cujos cenários d</w:t>
      </w:r>
      <w:r>
        <w:rPr>
          <w:rFonts w:ascii="Times New Roman" w:hAnsi="Times New Roman"/>
        </w:rPr>
        <w:t>as</w:t>
      </w:r>
      <w:r w:rsidRPr="00211901">
        <w:rPr>
          <w:rFonts w:ascii="Times New Roman" w:hAnsi="Times New Roman"/>
        </w:rPr>
        <w:t xml:space="preserve"> desovas foram validados com dados de ictioplâncton coletados em cruzeiros oceanográficos. Sua resolução na horizontal é de 1/12º (~9,2 km) e na vertical, um discretização de 30 níveis sigma. A batimetria foi elaborada a partir da base global do SRTM30 </w:t>
      </w:r>
      <w:r w:rsidRPr="00211901">
        <w:rPr>
          <w:rFonts w:ascii="Times New Roman" w:hAnsi="Times New Roman"/>
          <w:i/>
        </w:rPr>
        <w:t>plus</w:t>
      </w:r>
      <w:r w:rsidRPr="00211901">
        <w:rPr>
          <w:rFonts w:ascii="Times New Roman" w:hAnsi="Times New Roman"/>
        </w:rPr>
        <w:t xml:space="preserve">, com resolução de 30 segundos de arco e a linha de costa da </w:t>
      </w:r>
      <w:r w:rsidRPr="00211901">
        <w:rPr>
          <w:rFonts w:ascii="Times New Roman" w:hAnsi="Times New Roman"/>
          <w:i/>
        </w:rPr>
        <w:t>World Coast Line</w:t>
      </w:r>
      <w:r w:rsidRPr="00211901">
        <w:rPr>
          <w:rFonts w:ascii="Times New Roman" w:hAnsi="Times New Roman"/>
        </w:rPr>
        <w:t xml:space="preserve"> da NOAA, cuja resolução espacial é de 1:5.000.000. Os fluxos na interface oceano/atmosfera</w:t>
      </w:r>
      <w:r>
        <w:rPr>
          <w:rFonts w:ascii="Times New Roman" w:hAnsi="Times New Roman"/>
        </w:rPr>
        <w:t>,</w:t>
      </w:r>
      <w:r w:rsidRPr="00211901">
        <w:rPr>
          <w:rFonts w:ascii="Times New Roman" w:hAnsi="Times New Roman"/>
        </w:rPr>
        <w:t xml:space="preserve"> necessários para forçar o modelo</w:t>
      </w:r>
      <w:r>
        <w:rPr>
          <w:rFonts w:ascii="Times New Roman" w:hAnsi="Times New Roman"/>
        </w:rPr>
        <w:t>,</w:t>
      </w:r>
      <w:r w:rsidRPr="00211901">
        <w:rPr>
          <w:rFonts w:ascii="Times New Roman" w:hAnsi="Times New Roman"/>
        </w:rPr>
        <w:t xml:space="preserve"> foram obtidos do </w:t>
      </w:r>
      <w:r w:rsidRPr="00211901">
        <w:rPr>
          <w:rFonts w:ascii="Times New Roman" w:hAnsi="Times New Roman"/>
          <w:i/>
        </w:rPr>
        <w:t>Climate Forecast System Reanalysis</w:t>
      </w:r>
      <w:r w:rsidRPr="00211901">
        <w:rPr>
          <w:rFonts w:ascii="Times New Roman" w:hAnsi="Times New Roman"/>
        </w:rPr>
        <w:t xml:space="preserve"> (CFSR) interpolados para a grade com informações de fluxo incidente de onda longa, fluxo incidente de radiação solar de superfície, taxa de precipitação, pressão superficial, umidade e temperatura do ar a 2 metros e as componentes zonal e meridional do vento a 10 metros (Saha et al., 2010). As condições oceânicas iniciais do experimento e contornos laterais para as bordas abertas da grade foram obtidos do </w:t>
      </w:r>
      <w:r w:rsidRPr="00211901">
        <w:rPr>
          <w:rFonts w:ascii="Times New Roman" w:hAnsi="Times New Roman"/>
          <w:i/>
        </w:rPr>
        <w:t>Simple Ocean Data Assimilation</w:t>
      </w:r>
      <w:r w:rsidRPr="00211901">
        <w:rPr>
          <w:rFonts w:ascii="Times New Roman" w:hAnsi="Times New Roman"/>
        </w:rPr>
        <w:t xml:space="preserve"> (SODA) versão 2.0.2-4 (Carton e Giese, 2008). Um experimento de</w:t>
      </w:r>
      <w:r w:rsidRPr="00211901">
        <w:rPr>
          <w:rFonts w:ascii="Times New Roman" w:hAnsi="Times New Roman"/>
          <w:i/>
        </w:rPr>
        <w:t xml:space="preserve"> Spin-up</w:t>
      </w:r>
      <w:r w:rsidRPr="00211901">
        <w:rPr>
          <w:rFonts w:ascii="Times New Roman" w:hAnsi="Times New Roman"/>
        </w:rPr>
        <w:t xml:space="preserve"> de 5 anos (1980-1985) foi realizad</w:t>
      </w:r>
      <w:r>
        <w:rPr>
          <w:rFonts w:ascii="Times New Roman" w:hAnsi="Times New Roman"/>
        </w:rPr>
        <w:t>o</w:t>
      </w:r>
      <w:r w:rsidRPr="00211901">
        <w:rPr>
          <w:rFonts w:ascii="Times New Roman" w:hAnsi="Times New Roman"/>
        </w:rPr>
        <w:t xml:space="preserve">, sendo o último mês utilizado como condição inicial para o experimento </w:t>
      </w:r>
      <w:r>
        <w:rPr>
          <w:rFonts w:ascii="Times New Roman" w:hAnsi="Times New Roman"/>
        </w:rPr>
        <w:t xml:space="preserve">longo </w:t>
      </w:r>
      <w:r w:rsidRPr="00211901">
        <w:rPr>
          <w:rFonts w:ascii="Times New Roman" w:hAnsi="Times New Roman"/>
        </w:rPr>
        <w:t xml:space="preserve">de 27 anos. Destes, foram selecionados 18 anos, com base em testes estátisticos, para serem utilizadas como forçantes físicas do MBI, dos quais foram utilizadas saídas de médias horárias dos meses de dezembro e janeiro, referentes aos anos anteriores àqueles selecionados. Essa defasagem de 12 meses se refere ao período a partir do qual ocorre o recrutamento dos indivíduos ao estoque de </w:t>
      </w:r>
      <w:r w:rsidRPr="00211901">
        <w:rPr>
          <w:rFonts w:ascii="Times New Roman" w:hAnsi="Times New Roman"/>
        </w:rPr>
        <w:lastRenderedPageBreak/>
        <w:t>adultos, que foram pes</w:t>
      </w:r>
      <w:r>
        <w:rPr>
          <w:rFonts w:ascii="Times New Roman" w:hAnsi="Times New Roman"/>
        </w:rPr>
        <w:t>cados nos anos de máximas ou mínima</w:t>
      </w:r>
      <w:r w:rsidRPr="00211901">
        <w:rPr>
          <w:rFonts w:ascii="Times New Roman" w:hAnsi="Times New Roman"/>
        </w:rPr>
        <w:t xml:space="preserve">s capturas comerciais. As soluções do modelo foram comparadas com dados de temperatura da superfície do mar (TSM) , anomalia da superfície do mar (ASM) e Corrente Superfícial do Mar (CSM) obtidos por satélite. </w:t>
      </w:r>
    </w:p>
    <w:p w:rsidR="00A774C8" w:rsidRPr="00211901" w:rsidRDefault="00A774C8" w:rsidP="00A774C8">
      <w:pPr>
        <w:pStyle w:val="Normal1"/>
        <w:spacing w:after="0" w:line="240" w:lineRule="auto"/>
        <w:jc w:val="both"/>
        <w:rPr>
          <w:rFonts w:ascii="Times New Roman" w:hAnsi="Times New Roman"/>
          <w:b/>
        </w:rPr>
      </w:pPr>
    </w:p>
    <w:p w:rsidR="00A774C8" w:rsidRDefault="00A774C8" w:rsidP="00A774C8">
      <w:pPr>
        <w:pStyle w:val="Normal1"/>
        <w:numPr>
          <w:ilvl w:val="1"/>
          <w:numId w:val="2"/>
        </w:numPr>
        <w:spacing w:after="0" w:line="240" w:lineRule="auto"/>
        <w:jc w:val="both"/>
        <w:rPr>
          <w:rFonts w:ascii="Times New Roman" w:hAnsi="Times New Roman"/>
          <w:b/>
        </w:rPr>
      </w:pPr>
      <w:r w:rsidRPr="00211901">
        <w:rPr>
          <w:rFonts w:ascii="Times New Roman" w:hAnsi="Times New Roman"/>
          <w:b/>
        </w:rPr>
        <w:t>Análise da série temporal dos desembarques comerciais da sardinha verdadeira</w:t>
      </w:r>
    </w:p>
    <w:p w:rsidR="00E77ECD" w:rsidRPr="00211901" w:rsidRDefault="00E77ECD" w:rsidP="00E77ECD">
      <w:pPr>
        <w:pStyle w:val="Normal1"/>
        <w:spacing w:after="0" w:line="240" w:lineRule="auto"/>
        <w:ind w:left="360"/>
        <w:jc w:val="both"/>
        <w:rPr>
          <w:rFonts w:ascii="Times New Roman" w:hAnsi="Times New Roman"/>
          <w:b/>
        </w:rPr>
      </w:pPr>
    </w:p>
    <w:p w:rsidR="00A774C8" w:rsidRDefault="00A774C8" w:rsidP="00E77ECD">
      <w:pPr>
        <w:pStyle w:val="Normal1"/>
        <w:spacing w:after="0" w:line="360" w:lineRule="auto"/>
        <w:ind w:firstLine="426"/>
        <w:jc w:val="both"/>
        <w:rPr>
          <w:rFonts w:ascii="Times New Roman" w:hAnsi="Times New Roman"/>
        </w:rPr>
      </w:pPr>
      <w:r w:rsidRPr="00211901">
        <w:rPr>
          <w:rFonts w:ascii="Times New Roman" w:hAnsi="Times New Roman"/>
        </w:rPr>
        <w:t xml:space="preserve">Os </w:t>
      </w:r>
      <w:r>
        <w:rPr>
          <w:rFonts w:ascii="Times New Roman" w:hAnsi="Times New Roman"/>
        </w:rPr>
        <w:t xml:space="preserve">dados </w:t>
      </w:r>
      <w:r w:rsidRPr="00211901">
        <w:rPr>
          <w:rFonts w:ascii="Times New Roman" w:hAnsi="Times New Roman"/>
        </w:rPr>
        <w:t xml:space="preserve">de desembarques comerciais (Figura 1), disponíveis na </w:t>
      </w:r>
      <w:r w:rsidRPr="00211901">
        <w:rPr>
          <w:rFonts w:ascii="Times New Roman" w:hAnsi="Times New Roman"/>
          <w:i/>
        </w:rPr>
        <w:t>Food and Agriculture Organization</w:t>
      </w:r>
      <w:r w:rsidRPr="00211901">
        <w:rPr>
          <w:rFonts w:ascii="Times New Roman" w:hAnsi="Times New Roman"/>
        </w:rPr>
        <w:t xml:space="preserve"> (FAO), foram</w:t>
      </w:r>
      <w:r w:rsidRPr="00650A16">
        <w:rPr>
          <w:rFonts w:ascii="Times New Roman" w:hAnsi="Times New Roman"/>
        </w:rPr>
        <w:t xml:space="preserve"> </w:t>
      </w:r>
      <w:r>
        <w:rPr>
          <w:rFonts w:ascii="Times New Roman" w:hAnsi="Times New Roman"/>
        </w:rPr>
        <w:t>destendenciado</w:t>
      </w:r>
      <w:r w:rsidRPr="00211901">
        <w:rPr>
          <w:rFonts w:ascii="Times New Roman" w:hAnsi="Times New Roman"/>
        </w:rPr>
        <w:t xml:space="preserve">s </w:t>
      </w:r>
      <w:r>
        <w:rPr>
          <w:rFonts w:ascii="Times New Roman" w:hAnsi="Times New Roman"/>
        </w:rPr>
        <w:t xml:space="preserve">e as amostras selecionadas </w:t>
      </w:r>
      <w:r w:rsidRPr="00211901">
        <w:rPr>
          <w:rFonts w:ascii="Times New Roman" w:hAnsi="Times New Roman"/>
        </w:rPr>
        <w:t>com base na</w:t>
      </w:r>
      <w:r w:rsidRPr="00650A16">
        <w:rPr>
          <w:rFonts w:ascii="Times New Roman" w:eastAsiaTheme="minorEastAsia" w:hAnsi="Times New Roman"/>
        </w:rPr>
        <w:t xml:space="preserve"> </w:t>
      </w:r>
      <w:r w:rsidRPr="008011A0">
        <w:rPr>
          <w:rFonts w:ascii="Times New Roman" w:eastAsiaTheme="minorEastAsia" w:hAnsi="Times New Roman"/>
        </w:rPr>
        <w:t>Distribuição Generalizada de Valores Extremos</w:t>
      </w:r>
      <w:r w:rsidRPr="00650A16">
        <w:rPr>
          <w:rFonts w:ascii="Times New Roman" w:hAnsi="Times New Roman"/>
        </w:rPr>
        <w:t xml:space="preserve"> </w:t>
      </w:r>
      <w:r w:rsidRPr="00211901">
        <w:rPr>
          <w:rFonts w:ascii="Times New Roman" w:hAnsi="Times New Roman"/>
        </w:rPr>
        <w:t>(</w:t>
      </w:r>
      <w:r>
        <w:rPr>
          <w:rFonts w:ascii="Times New Roman" w:hAnsi="Times New Roman"/>
        </w:rPr>
        <w:t xml:space="preserve">ou </w:t>
      </w:r>
      <w:r w:rsidRPr="00211901">
        <w:rPr>
          <w:rFonts w:ascii="Times New Roman" w:hAnsi="Times New Roman"/>
        </w:rPr>
        <w:t>GEV</w:t>
      </w:r>
      <w:r>
        <w:rPr>
          <w:rFonts w:ascii="Times New Roman" w:hAnsi="Times New Roman"/>
        </w:rPr>
        <w:t>,</w:t>
      </w:r>
      <w:r w:rsidRPr="00211901">
        <w:rPr>
          <w:rFonts w:ascii="Times New Roman" w:hAnsi="Times New Roman"/>
          <w:i/>
        </w:rPr>
        <w:t xml:space="preserve"> Generalized Extreme Value</w:t>
      </w:r>
      <w:r w:rsidRPr="00211901">
        <w:rPr>
          <w:rFonts w:ascii="Times New Roman" w:hAnsi="Times New Roman"/>
        </w:rPr>
        <w:t xml:space="preserve">) (Cox et al., 2002). </w:t>
      </w:r>
      <w:r>
        <w:rPr>
          <w:rFonts w:ascii="Times New Roman" w:hAnsi="Times New Roman"/>
        </w:rPr>
        <w:t xml:space="preserve">A </w:t>
      </w:r>
      <w:r w:rsidRPr="00211901">
        <w:rPr>
          <w:rFonts w:ascii="Times New Roman" w:hAnsi="Times New Roman"/>
        </w:rPr>
        <w:t xml:space="preserve">forma assintótica dessa distribuição </w:t>
      </w:r>
      <w:r>
        <w:rPr>
          <w:rFonts w:ascii="Times New Roman" w:hAnsi="Times New Roman"/>
        </w:rPr>
        <w:t>que melhor estima</w:t>
      </w:r>
      <w:r w:rsidRPr="00211901">
        <w:rPr>
          <w:rFonts w:ascii="Times New Roman" w:hAnsi="Times New Roman"/>
        </w:rPr>
        <w:t xml:space="preserve"> </w:t>
      </w:r>
      <w:r>
        <w:rPr>
          <w:rFonts w:ascii="Times New Roman" w:hAnsi="Times New Roman"/>
        </w:rPr>
        <w:t>estes</w:t>
      </w:r>
      <w:r w:rsidRPr="00211901">
        <w:rPr>
          <w:rFonts w:ascii="Times New Roman" w:hAnsi="Times New Roman"/>
        </w:rPr>
        <w:t xml:space="preserve"> eventos </w:t>
      </w:r>
      <w:r>
        <w:rPr>
          <w:rFonts w:ascii="Times New Roman" w:hAnsi="Times New Roman"/>
        </w:rPr>
        <w:t xml:space="preserve">é a </w:t>
      </w:r>
      <w:r w:rsidRPr="00211901">
        <w:rPr>
          <w:rFonts w:ascii="Times New Roman" w:hAnsi="Times New Roman"/>
        </w:rPr>
        <w:t>Weibull (ε = -0, 0,369162) (Jenkinson, 1995</w:t>
      </w:r>
      <w:r>
        <w:rPr>
          <w:rFonts w:ascii="Times New Roman" w:hAnsi="Times New Roman"/>
        </w:rPr>
        <w:t xml:space="preserve">; </w:t>
      </w:r>
      <w:r w:rsidRPr="00211901">
        <w:rPr>
          <w:rFonts w:ascii="Times New Roman" w:hAnsi="Times New Roman"/>
        </w:rPr>
        <w:t>Behrens et al., 2004).</w:t>
      </w:r>
    </w:p>
    <w:p w:rsidR="00E77ECD" w:rsidRPr="00211901" w:rsidRDefault="00E77ECD" w:rsidP="00E77ECD">
      <w:pPr>
        <w:pStyle w:val="Normal1"/>
        <w:spacing w:after="0" w:line="360" w:lineRule="auto"/>
        <w:ind w:firstLine="426"/>
        <w:jc w:val="both"/>
        <w:rPr>
          <w:rFonts w:ascii="Times New Roman" w:hAnsi="Times New Roman"/>
        </w:rPr>
      </w:pPr>
    </w:p>
    <w:p w:rsidR="00A774C8" w:rsidRDefault="00E77ECD" w:rsidP="00A774C8">
      <w:pPr>
        <w:pStyle w:val="Normal1"/>
        <w:spacing w:after="0" w:line="240" w:lineRule="auto"/>
        <w:jc w:val="center"/>
        <w:rPr>
          <w:rFonts w:ascii="Times New Roman" w:hAnsi="Times New Roman"/>
          <w:b/>
        </w:rPr>
      </w:pPr>
      <w:r>
        <w:rPr>
          <w:rFonts w:ascii="Times New Roman" w:hAnsi="Times New Roman"/>
          <w:b/>
          <w:noProof/>
          <w:lang w:eastAsia="pt-BR"/>
        </w:rPr>
        <w:drawing>
          <wp:inline distT="0" distB="0" distL="0" distR="0">
            <wp:extent cx="3929583" cy="186397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 Fish Landings.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43336" cy="1870494"/>
                    </a:xfrm>
                    <a:prstGeom prst="rect">
                      <a:avLst/>
                    </a:prstGeom>
                  </pic:spPr>
                </pic:pic>
              </a:graphicData>
            </a:graphic>
          </wp:inline>
        </w:drawing>
      </w:r>
    </w:p>
    <w:p w:rsidR="00A774C8" w:rsidRPr="006830D8" w:rsidRDefault="00A774C8" w:rsidP="00A774C8">
      <w:pPr>
        <w:pStyle w:val="Normal1"/>
        <w:spacing w:after="0" w:line="240" w:lineRule="auto"/>
        <w:jc w:val="both"/>
        <w:rPr>
          <w:rFonts w:ascii="Times New Roman" w:hAnsi="Times New Roman"/>
          <w:sz w:val="22"/>
          <w:szCs w:val="22"/>
        </w:rPr>
      </w:pPr>
      <w:r w:rsidRPr="006830D8">
        <w:rPr>
          <w:rFonts w:ascii="Times New Roman" w:hAnsi="Times New Roman"/>
          <w:sz w:val="22"/>
          <w:szCs w:val="22"/>
        </w:rPr>
        <w:t xml:space="preserve">Figura 1- Série histórica anual </w:t>
      </w:r>
      <w:r>
        <w:rPr>
          <w:rFonts w:ascii="Times New Roman" w:hAnsi="Times New Roman"/>
          <w:sz w:val="22"/>
          <w:szCs w:val="22"/>
        </w:rPr>
        <w:t>(</w:t>
      </w:r>
      <w:r w:rsidRPr="006830D8">
        <w:rPr>
          <w:rFonts w:ascii="Times New Roman" w:hAnsi="Times New Roman"/>
          <w:sz w:val="22"/>
          <w:szCs w:val="22"/>
        </w:rPr>
        <w:t>destendenciada</w:t>
      </w:r>
      <w:r>
        <w:rPr>
          <w:rFonts w:ascii="Times New Roman" w:hAnsi="Times New Roman"/>
          <w:sz w:val="22"/>
          <w:szCs w:val="22"/>
        </w:rPr>
        <w:t>) da</w:t>
      </w:r>
      <w:r w:rsidRPr="00884E30">
        <w:rPr>
          <w:rFonts w:ascii="Times New Roman" w:hAnsi="Times New Roman"/>
          <w:sz w:val="22"/>
          <w:szCs w:val="22"/>
        </w:rPr>
        <w:t xml:space="preserve"> </w:t>
      </w:r>
      <w:r w:rsidRPr="006830D8">
        <w:rPr>
          <w:rFonts w:ascii="Times New Roman" w:hAnsi="Times New Roman"/>
          <w:sz w:val="22"/>
          <w:szCs w:val="22"/>
        </w:rPr>
        <w:t xml:space="preserve">captura média, em toneladas por ano, da sardinha na PCSE </w:t>
      </w:r>
      <w:r>
        <w:rPr>
          <w:rFonts w:ascii="Times New Roman" w:hAnsi="Times New Roman"/>
          <w:sz w:val="22"/>
          <w:szCs w:val="22"/>
        </w:rPr>
        <w:t xml:space="preserve">entre </w:t>
      </w:r>
      <w:r w:rsidRPr="006830D8">
        <w:rPr>
          <w:rFonts w:ascii="Times New Roman" w:hAnsi="Times New Roman"/>
          <w:sz w:val="22"/>
          <w:szCs w:val="22"/>
        </w:rPr>
        <w:t xml:space="preserve">1980 </w:t>
      </w:r>
      <w:r>
        <w:rPr>
          <w:rFonts w:ascii="Times New Roman" w:hAnsi="Times New Roman"/>
          <w:sz w:val="22"/>
          <w:szCs w:val="22"/>
        </w:rPr>
        <w:t>e</w:t>
      </w:r>
      <w:r w:rsidRPr="006830D8">
        <w:rPr>
          <w:rFonts w:ascii="Times New Roman" w:hAnsi="Times New Roman"/>
          <w:sz w:val="22"/>
          <w:szCs w:val="22"/>
        </w:rPr>
        <w:t xml:space="preserve"> 2007</w:t>
      </w:r>
      <w:r>
        <w:rPr>
          <w:rFonts w:ascii="Times New Roman" w:hAnsi="Times New Roman"/>
          <w:sz w:val="22"/>
          <w:szCs w:val="22"/>
        </w:rPr>
        <w:t>, consolidada</w:t>
      </w:r>
      <w:r w:rsidRPr="006830D8">
        <w:rPr>
          <w:rFonts w:ascii="Times New Roman" w:hAnsi="Times New Roman"/>
          <w:sz w:val="22"/>
          <w:szCs w:val="22"/>
        </w:rPr>
        <w:t xml:space="preserve"> </w:t>
      </w:r>
      <w:r>
        <w:rPr>
          <w:rFonts w:ascii="Times New Roman" w:hAnsi="Times New Roman"/>
          <w:sz w:val="22"/>
          <w:szCs w:val="22"/>
        </w:rPr>
        <w:t>pela</w:t>
      </w:r>
      <w:r w:rsidRPr="006830D8">
        <w:rPr>
          <w:rFonts w:ascii="Times New Roman" w:hAnsi="Times New Roman"/>
          <w:sz w:val="22"/>
          <w:szCs w:val="22"/>
        </w:rPr>
        <w:t xml:space="preserve"> FAO.</w:t>
      </w:r>
    </w:p>
    <w:p w:rsidR="00A774C8" w:rsidRPr="00211901" w:rsidRDefault="00A774C8" w:rsidP="00A774C8">
      <w:pPr>
        <w:pStyle w:val="Normal1"/>
        <w:spacing w:after="0" w:line="240" w:lineRule="auto"/>
        <w:jc w:val="both"/>
        <w:rPr>
          <w:rFonts w:ascii="Times New Roman" w:hAnsi="Times New Roman"/>
        </w:rPr>
      </w:pPr>
    </w:p>
    <w:p w:rsidR="00A774C8" w:rsidRPr="00211901" w:rsidRDefault="00A774C8" w:rsidP="00E77ECD">
      <w:pPr>
        <w:spacing w:line="360" w:lineRule="auto"/>
        <w:ind w:firstLine="426"/>
        <w:jc w:val="both"/>
        <w:rPr>
          <w:szCs w:val="24"/>
        </w:rPr>
      </w:pPr>
      <w:r w:rsidRPr="00211901">
        <w:rPr>
          <w:szCs w:val="24"/>
        </w:rPr>
        <w:t xml:space="preserve">Para testar a suposição de que esses dados realmente seguem a referida distribuição (Zar, 1999), foi aplicado o teste de aderência de de </w:t>
      </w:r>
      <w:r w:rsidRPr="00211901">
        <w:rPr>
          <w:i/>
          <w:szCs w:val="24"/>
        </w:rPr>
        <w:t xml:space="preserve">Kolmogorov-Smirnov </w:t>
      </w:r>
      <w:r w:rsidRPr="00211901">
        <w:rPr>
          <w:szCs w:val="24"/>
        </w:rPr>
        <w:t>(KS) (D</w:t>
      </w:r>
      <w:r w:rsidRPr="00211901">
        <w:rPr>
          <w:szCs w:val="24"/>
          <w:vertAlign w:val="subscript"/>
        </w:rPr>
        <w:t>obs</w:t>
      </w:r>
      <w:r w:rsidRPr="00211901">
        <w:rPr>
          <w:szCs w:val="24"/>
        </w:rPr>
        <w:t xml:space="preserve"> = 0,25 e D</w:t>
      </w:r>
      <w:r w:rsidRPr="00211901">
        <w:rPr>
          <w:szCs w:val="24"/>
          <w:vertAlign w:val="subscript"/>
        </w:rPr>
        <w:t>tab</w:t>
      </w:r>
      <w:r w:rsidRPr="00211901">
        <w:rPr>
          <w:szCs w:val="24"/>
        </w:rPr>
        <w:t xml:space="preserve"> = 0,7960). Os anos de desembarques mínimos foram: 1988, 1989, 1990, 1993, 1995, 1999-2003, 2005 e 2007 e desembarques máximos ocorridos em 1983, 1986, 1996 e 1997. A decisão se as duas amostras, máximos e mínimos, provêm de populações diferentes é realizada pelo teste não paramétrico de Kruskal-Wallis (KW).</w:t>
      </w:r>
    </w:p>
    <w:p w:rsidR="00A774C8" w:rsidRPr="00211901" w:rsidRDefault="00A774C8" w:rsidP="00A774C8">
      <w:pPr>
        <w:pStyle w:val="Normal1"/>
        <w:tabs>
          <w:tab w:val="center" w:pos="4252"/>
        </w:tabs>
        <w:spacing w:after="0" w:line="240" w:lineRule="auto"/>
        <w:ind w:firstLine="426"/>
        <w:jc w:val="both"/>
        <w:rPr>
          <w:rFonts w:ascii="Times New Roman" w:hAnsi="Times New Roman"/>
        </w:rPr>
      </w:pPr>
    </w:p>
    <w:p w:rsidR="00A774C8" w:rsidRDefault="00A774C8" w:rsidP="00A774C8">
      <w:pPr>
        <w:pStyle w:val="Normal1"/>
        <w:numPr>
          <w:ilvl w:val="1"/>
          <w:numId w:val="2"/>
        </w:numPr>
        <w:spacing w:after="0" w:line="240" w:lineRule="auto"/>
        <w:jc w:val="both"/>
        <w:rPr>
          <w:rFonts w:ascii="Times New Roman" w:hAnsi="Times New Roman"/>
          <w:b/>
        </w:rPr>
      </w:pPr>
      <w:r w:rsidRPr="00211901">
        <w:rPr>
          <w:rFonts w:ascii="Times New Roman" w:hAnsi="Times New Roman"/>
          <w:b/>
        </w:rPr>
        <w:t>Configuração do modelo baseado em indivíduo (MBI)</w:t>
      </w:r>
    </w:p>
    <w:p w:rsidR="00E77ECD" w:rsidRPr="00211901" w:rsidRDefault="00E77ECD" w:rsidP="00E77ECD">
      <w:pPr>
        <w:pStyle w:val="Normal1"/>
        <w:spacing w:after="0" w:line="240" w:lineRule="auto"/>
        <w:ind w:left="360"/>
        <w:jc w:val="both"/>
        <w:rPr>
          <w:rFonts w:ascii="Times New Roman" w:hAnsi="Times New Roman"/>
          <w:b/>
        </w:rPr>
      </w:pPr>
    </w:p>
    <w:p w:rsidR="00A774C8" w:rsidRPr="00211901" w:rsidRDefault="00A774C8" w:rsidP="00E77ECD">
      <w:pPr>
        <w:pStyle w:val="Normal1"/>
        <w:spacing w:after="0" w:line="360" w:lineRule="auto"/>
        <w:ind w:firstLine="426"/>
        <w:jc w:val="both"/>
        <w:rPr>
          <w:rFonts w:ascii="Times New Roman" w:hAnsi="Times New Roman"/>
        </w:rPr>
      </w:pPr>
      <w:r>
        <w:rPr>
          <w:rFonts w:ascii="Times New Roman" w:hAnsi="Times New Roman"/>
        </w:rPr>
        <w:t>F</w:t>
      </w:r>
      <w:r w:rsidRPr="00211901">
        <w:rPr>
          <w:rFonts w:ascii="Times New Roman" w:hAnsi="Times New Roman"/>
        </w:rPr>
        <w:t>o</w:t>
      </w:r>
      <w:r w:rsidR="00450D85">
        <w:rPr>
          <w:rFonts w:ascii="Times New Roman" w:hAnsi="Times New Roman"/>
        </w:rPr>
        <w:t>i</w:t>
      </w:r>
      <w:r w:rsidRPr="00211901">
        <w:rPr>
          <w:rFonts w:ascii="Times New Roman" w:hAnsi="Times New Roman"/>
        </w:rPr>
        <w:t xml:space="preserve"> </w:t>
      </w:r>
      <w:r>
        <w:rPr>
          <w:rFonts w:ascii="Times New Roman" w:hAnsi="Times New Roman"/>
        </w:rPr>
        <w:t>realizado</w:t>
      </w:r>
      <w:r w:rsidRPr="00211901">
        <w:rPr>
          <w:rFonts w:ascii="Times New Roman" w:hAnsi="Times New Roman"/>
        </w:rPr>
        <w:t xml:space="preserve"> </w:t>
      </w:r>
      <w:r w:rsidR="00450D85">
        <w:rPr>
          <w:rFonts w:ascii="Times New Roman" w:hAnsi="Times New Roman"/>
        </w:rPr>
        <w:t>um experimento</w:t>
      </w:r>
      <w:r w:rsidRPr="00211901">
        <w:rPr>
          <w:rFonts w:ascii="Times New Roman" w:hAnsi="Times New Roman"/>
        </w:rPr>
        <w:t xml:space="preserve"> (Figura 2)</w:t>
      </w:r>
      <w:r>
        <w:rPr>
          <w:rFonts w:ascii="Times New Roman" w:hAnsi="Times New Roman"/>
        </w:rPr>
        <w:t xml:space="preserve"> onde, a desova ocorreu ocorreu</w:t>
      </w:r>
      <w:r w:rsidRPr="00211901">
        <w:rPr>
          <w:rFonts w:ascii="Times New Roman" w:hAnsi="Times New Roman"/>
        </w:rPr>
        <w:t xml:space="preserve"> </w:t>
      </w:r>
      <w:r>
        <w:rPr>
          <w:rFonts w:ascii="Times New Roman" w:hAnsi="Times New Roman"/>
        </w:rPr>
        <w:t>em</w:t>
      </w:r>
      <w:r w:rsidRPr="00211901">
        <w:rPr>
          <w:rFonts w:ascii="Times New Roman" w:hAnsi="Times New Roman"/>
        </w:rPr>
        <w:t xml:space="preserve"> zonas</w:t>
      </w:r>
      <w:r>
        <w:rPr>
          <w:rFonts w:ascii="Times New Roman" w:hAnsi="Times New Roman"/>
        </w:rPr>
        <w:t xml:space="preserve"> específicas</w:t>
      </w:r>
      <w:r w:rsidR="00450D85">
        <w:rPr>
          <w:rFonts w:ascii="Times New Roman" w:hAnsi="Times New Roman"/>
        </w:rPr>
        <w:t xml:space="preserve"> de acordo com as zonas de probabilidade definidas por Gigliotti et al., (2010).</w:t>
      </w:r>
      <w:r w:rsidRPr="00211901">
        <w:rPr>
          <w:rFonts w:ascii="Times New Roman" w:hAnsi="Times New Roman"/>
        </w:rPr>
        <w:t xml:space="preserve"> Em cada experimento foram rastreadas 30 mil partículas lançadas nos primeiros 30 metros de coluna de água durante 45 dias (período de máxima desova da sardinha). As </w:t>
      </w:r>
      <w:r w:rsidRPr="00211901">
        <w:rPr>
          <w:rFonts w:ascii="Times New Roman" w:hAnsi="Times New Roman"/>
        </w:rPr>
        <w:lastRenderedPageBreak/>
        <w:t xml:space="preserve">simulações registraram os passos de cada indivíduo, quantos viveram, e a taxa de mortalidade por advecção ou por temperatura letal (Yoneda, 1987).  </w:t>
      </w:r>
    </w:p>
    <w:p w:rsidR="00A774C8" w:rsidRPr="00211901" w:rsidRDefault="00450D85" w:rsidP="00A774C8">
      <w:pPr>
        <w:pStyle w:val="Normal1"/>
        <w:spacing w:after="0" w:line="240" w:lineRule="auto"/>
        <w:ind w:firstLine="426"/>
        <w:jc w:val="center"/>
        <w:rPr>
          <w:rFonts w:ascii="Times New Roman" w:hAnsi="Times New Roman"/>
        </w:rPr>
      </w:pPr>
      <w:r>
        <w:rPr>
          <w:rFonts w:ascii="Times New Roman" w:hAnsi="Times New Roman"/>
          <w:noProof/>
          <w:lang w:eastAsia="pt-BR"/>
        </w:rPr>
        <w:drawing>
          <wp:inline distT="0" distB="0" distL="0" distR="0">
            <wp:extent cx="3135086" cy="2908756"/>
            <wp:effectExtent l="0" t="0" r="825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1. Spawning IBM.tif"/>
                    <pic:cNvPicPr/>
                  </pic:nvPicPr>
                  <pic:blipFill rotWithShape="1">
                    <a:blip r:embed="rId6" cstate="print">
                      <a:extLst>
                        <a:ext uri="{28A0092B-C50C-407E-A947-70E740481C1C}">
                          <a14:useLocalDpi xmlns:a14="http://schemas.microsoft.com/office/drawing/2010/main" val="0"/>
                        </a:ext>
                      </a:extLst>
                    </a:blip>
                    <a:srcRect l="49386"/>
                    <a:stretch/>
                  </pic:blipFill>
                  <pic:spPr bwMode="auto">
                    <a:xfrm>
                      <a:off x="0" y="0"/>
                      <a:ext cx="3147533" cy="2920305"/>
                    </a:xfrm>
                    <a:prstGeom prst="rect">
                      <a:avLst/>
                    </a:prstGeom>
                    <a:ln>
                      <a:noFill/>
                    </a:ln>
                    <a:extLst>
                      <a:ext uri="{53640926-AAD7-44D8-BBD7-CCE9431645EC}">
                        <a14:shadowObscured xmlns:a14="http://schemas.microsoft.com/office/drawing/2010/main"/>
                      </a:ext>
                    </a:extLst>
                  </pic:spPr>
                </pic:pic>
              </a:graphicData>
            </a:graphic>
          </wp:inline>
        </w:drawing>
      </w:r>
    </w:p>
    <w:p w:rsidR="00A774C8" w:rsidRPr="006830D8" w:rsidRDefault="00A774C8" w:rsidP="00A774C8">
      <w:pPr>
        <w:pStyle w:val="Normal1"/>
        <w:spacing w:after="0" w:line="240" w:lineRule="auto"/>
        <w:jc w:val="both"/>
        <w:rPr>
          <w:rFonts w:ascii="Times New Roman" w:hAnsi="Times New Roman"/>
          <w:sz w:val="22"/>
          <w:szCs w:val="22"/>
        </w:rPr>
      </w:pPr>
      <w:r w:rsidRPr="006830D8">
        <w:rPr>
          <w:rFonts w:ascii="Times New Roman" w:hAnsi="Times New Roman"/>
          <w:sz w:val="22"/>
          <w:szCs w:val="22"/>
        </w:rPr>
        <w:t>Figura 2 – Experimento MBI por zonas de acordo com as zonas de probabilidade definidas por Gigliotti et al., (2010). Fonte: Adaptado Dias et al., (2014).</w:t>
      </w:r>
    </w:p>
    <w:p w:rsidR="00A774C8" w:rsidRPr="00211901" w:rsidRDefault="00A774C8" w:rsidP="00A774C8">
      <w:pPr>
        <w:pStyle w:val="Normal1"/>
        <w:spacing w:after="0" w:line="240" w:lineRule="auto"/>
        <w:ind w:firstLine="426"/>
        <w:jc w:val="both"/>
        <w:rPr>
          <w:rFonts w:ascii="Times New Roman" w:hAnsi="Times New Roman"/>
        </w:rPr>
      </w:pPr>
    </w:p>
    <w:p w:rsidR="00A774C8" w:rsidRDefault="00A774C8" w:rsidP="00E77ECD">
      <w:pPr>
        <w:pStyle w:val="Normal1"/>
        <w:spacing w:after="0" w:line="360" w:lineRule="auto"/>
        <w:ind w:firstLine="426"/>
        <w:jc w:val="both"/>
        <w:rPr>
          <w:rFonts w:ascii="Times New Roman" w:hAnsi="Times New Roman"/>
        </w:rPr>
      </w:pPr>
      <w:r w:rsidRPr="00211901">
        <w:rPr>
          <w:rFonts w:ascii="Times New Roman" w:hAnsi="Times New Roman"/>
        </w:rPr>
        <w:t xml:space="preserve">Para analisar a desova, foram incluídos processos de: i) advecção horizontal e vertical; ii) dispersão horizontal e vertical; iii) movimento vertical dos ovos; iv) a migração </w:t>
      </w:r>
      <w:r>
        <w:rPr>
          <w:rFonts w:ascii="Times New Roman" w:hAnsi="Times New Roman"/>
        </w:rPr>
        <w:t xml:space="preserve">vertical diurna </w:t>
      </w:r>
      <w:r w:rsidRPr="00211901">
        <w:rPr>
          <w:rFonts w:ascii="Times New Roman" w:hAnsi="Times New Roman"/>
        </w:rPr>
        <w:t xml:space="preserve">de larvas e; vi) mortalidade por temperatura (menor que 17ºC para o ovo e de 16,5ºC para a larva) e mortalidade por advecção (caso a partícula seja transportada para </w:t>
      </w:r>
      <w:r>
        <w:rPr>
          <w:rFonts w:ascii="Times New Roman" w:hAnsi="Times New Roman"/>
        </w:rPr>
        <w:t>regiões fora da PCSE</w:t>
      </w:r>
      <w:r w:rsidRPr="00211901">
        <w:rPr>
          <w:rFonts w:ascii="Times New Roman" w:hAnsi="Times New Roman"/>
        </w:rPr>
        <w:t>).</w:t>
      </w:r>
    </w:p>
    <w:p w:rsidR="006E226F" w:rsidRDefault="006E226F" w:rsidP="00A774C8">
      <w:pPr>
        <w:pStyle w:val="Normal1"/>
        <w:spacing w:after="0" w:line="240" w:lineRule="auto"/>
        <w:ind w:firstLine="426"/>
        <w:jc w:val="both"/>
        <w:rPr>
          <w:rFonts w:ascii="Times New Roman" w:hAnsi="Times New Roman"/>
        </w:rPr>
      </w:pPr>
    </w:p>
    <w:p w:rsidR="006E226F" w:rsidRDefault="006E226F" w:rsidP="006E226F">
      <w:pPr>
        <w:pStyle w:val="Normal1"/>
        <w:spacing w:after="0" w:line="240" w:lineRule="auto"/>
        <w:rPr>
          <w:rFonts w:ascii="Times New Roman" w:hAnsi="Times New Roman"/>
          <w:b/>
        </w:rPr>
      </w:pPr>
      <w:r w:rsidRPr="006E226F">
        <w:rPr>
          <w:rFonts w:ascii="Times New Roman" w:hAnsi="Times New Roman"/>
          <w:b/>
        </w:rPr>
        <w:t>2.4 Análise Espacial dos dados</w:t>
      </w:r>
    </w:p>
    <w:p w:rsidR="00E77ECD" w:rsidRPr="006E226F" w:rsidRDefault="00E77ECD" w:rsidP="006E226F">
      <w:pPr>
        <w:pStyle w:val="Normal1"/>
        <w:spacing w:after="0" w:line="240" w:lineRule="auto"/>
        <w:rPr>
          <w:rFonts w:ascii="Times New Roman" w:hAnsi="Times New Roman"/>
          <w:b/>
        </w:rPr>
      </w:pPr>
    </w:p>
    <w:p w:rsidR="005A5A6D" w:rsidRPr="00E77ECD" w:rsidRDefault="000E6B54" w:rsidP="00E77ECD">
      <w:pPr>
        <w:spacing w:line="360" w:lineRule="auto"/>
        <w:ind w:firstLine="426"/>
        <w:jc w:val="both"/>
        <w:rPr>
          <w:szCs w:val="24"/>
        </w:rPr>
      </w:pPr>
      <w:r w:rsidRPr="00E77ECD">
        <w:rPr>
          <w:szCs w:val="24"/>
        </w:rPr>
        <w:t>Apatir dos dados do MBI, criou-se um banco de dados com valores e a localização dos atributos que foram</w:t>
      </w:r>
      <w:r w:rsidR="005A5A6D" w:rsidRPr="00E77ECD">
        <w:rPr>
          <w:szCs w:val="24"/>
        </w:rPr>
        <w:t xml:space="preserve"> </w:t>
      </w:r>
      <w:r w:rsidRPr="00E77ECD">
        <w:rPr>
          <w:szCs w:val="24"/>
        </w:rPr>
        <w:t>interpolado</w:t>
      </w:r>
      <w:r w:rsidR="005A5A6D" w:rsidRPr="00E77ECD">
        <w:rPr>
          <w:szCs w:val="24"/>
        </w:rPr>
        <w:t xml:space="preserve">s para estimar pontos em locais que não foram amostrados. O interpolador utilizado nesse estudo foi o de vizinho mais próximo, </w:t>
      </w:r>
      <w:r w:rsidRPr="00E77ECD">
        <w:rPr>
          <w:szCs w:val="24"/>
        </w:rPr>
        <w:t xml:space="preserve">que utiliza </w:t>
      </w:r>
      <w:r w:rsidR="005A5A6D" w:rsidRPr="00E77ECD">
        <w:rPr>
          <w:szCs w:val="24"/>
        </w:rPr>
        <w:t>o valor do ponto mais próximo do nó da grade para estimar o valor interpolado. Os valores observados não são modificados, havendo apenas uma redistribuição dos mesmos em uma grade regular.</w:t>
      </w:r>
    </w:p>
    <w:p w:rsidR="00D908B6" w:rsidRPr="00E77ECD" w:rsidRDefault="00D908B6" w:rsidP="00E77ECD">
      <w:pPr>
        <w:spacing w:line="360" w:lineRule="auto"/>
        <w:ind w:firstLine="426"/>
        <w:jc w:val="both"/>
        <w:rPr>
          <w:color w:val="000000"/>
          <w:szCs w:val="24"/>
          <w:shd w:val="clear" w:color="auto" w:fill="FFFFFF"/>
        </w:rPr>
      </w:pPr>
      <w:r w:rsidRPr="00E77ECD">
        <w:rPr>
          <w:color w:val="000000"/>
          <w:szCs w:val="24"/>
          <w:shd w:val="clear" w:color="auto" w:fill="FFFFFF"/>
        </w:rPr>
        <w:t>Estes métodos assumem estacionaridade sobre pequenas escalas na região de trabalho. Este conceito de estacionaridade significa que a média e a variância do processo são independentes da localização e constante na região.</w:t>
      </w:r>
    </w:p>
    <w:p w:rsidR="00D908B6" w:rsidRPr="00E77ECD" w:rsidRDefault="00D908B6" w:rsidP="00E77ECD">
      <w:pPr>
        <w:spacing w:line="360" w:lineRule="auto"/>
        <w:ind w:firstLine="426"/>
        <w:jc w:val="both"/>
        <w:rPr>
          <w:rStyle w:val="apple-converted-space"/>
          <w:color w:val="000000"/>
          <w:szCs w:val="24"/>
          <w:shd w:val="clear" w:color="auto" w:fill="FFFFFF"/>
        </w:rPr>
      </w:pPr>
      <w:r w:rsidRPr="00E77ECD">
        <w:rPr>
          <w:color w:val="000000"/>
          <w:szCs w:val="24"/>
          <w:shd w:val="clear" w:color="auto" w:fill="FFFFFF"/>
        </w:rPr>
        <w:t>O método do vizinho mais próximo calcula a função de distribuição cumulativa (G(w)) baseado nas distâncias entre e</w:t>
      </w:r>
      <w:r w:rsidR="000E6B54" w:rsidRPr="00E77ECD">
        <w:rPr>
          <w:color w:val="000000"/>
          <w:szCs w:val="24"/>
          <w:shd w:val="clear" w:color="auto" w:fill="FFFFFF"/>
        </w:rPr>
        <w:t>ventos em uma região de análise,</w:t>
      </w:r>
      <w:r w:rsidRPr="00E77ECD">
        <w:rPr>
          <w:color w:val="000000"/>
          <w:szCs w:val="24"/>
          <w:shd w:val="clear" w:color="auto" w:fill="FFFFFF"/>
        </w:rPr>
        <w:t xml:space="preserve"> onde o valor normalizado acumulado G para uma distância de entrada w corresponde à soma dos </w:t>
      </w:r>
      <w:r w:rsidRPr="00E77ECD">
        <w:rPr>
          <w:color w:val="000000"/>
          <w:szCs w:val="24"/>
          <w:shd w:val="clear" w:color="auto" w:fill="FFFFFF"/>
        </w:rPr>
        <w:lastRenderedPageBreak/>
        <w:t>vizinhos mais próximo de cada evento cuja distância é menor ou igual a w, dividido pelo número de eventos na região. A plotagem dos resultados desta função de distribuição cumulativa G(w) em relação as distâncias w, pode ser usado como um método exploratório para se verificar se existe evidência de interação entre os eventos. Se esta plotagem apresentar um crescimento rápido para pequenos valores de distância, esta situação aponta para interação entre os eventos caracterizando agrupamentos nestas escalas. Por outro lado se esta plotagem apresentar valores pequenos no seu início, e só crescer rapidamente para valores maiores de distância, esta situação aponta para uma distribuição mais regular.</w:t>
      </w:r>
      <w:r w:rsidRPr="00E77ECD">
        <w:rPr>
          <w:rStyle w:val="apple-converted-space"/>
          <w:color w:val="000000"/>
          <w:szCs w:val="24"/>
          <w:shd w:val="clear" w:color="auto" w:fill="FFFFFF"/>
        </w:rPr>
        <w:t> </w:t>
      </w:r>
    </w:p>
    <w:p w:rsidR="004200C1" w:rsidRPr="00E77ECD" w:rsidRDefault="004200C1" w:rsidP="00E77ECD">
      <w:pPr>
        <w:spacing w:line="360" w:lineRule="auto"/>
        <w:ind w:firstLine="426"/>
        <w:jc w:val="both"/>
        <w:rPr>
          <w:szCs w:val="24"/>
        </w:rPr>
      </w:pPr>
      <w:r w:rsidRPr="00E77ECD">
        <w:rPr>
          <w:szCs w:val="24"/>
        </w:rPr>
        <w:t>Esse procedimento inclue o conjunto de métodos genéricos de análise exploratória e a visualização dos dados geralmente por intermédio de mapas. Desta forma, essa técnica permite descrever a distribuição das variáveis em estudo, identificar observações atípicas não só em relação ao tipo de distribuição, mas também em relação aos vizinhos, buscando a existência de padrões na distribuição espacial (A</w:t>
      </w:r>
      <w:r w:rsidR="00E77ECD" w:rsidRPr="00E77ECD">
        <w:rPr>
          <w:szCs w:val="24"/>
        </w:rPr>
        <w:t>nselin</w:t>
      </w:r>
      <w:r w:rsidRPr="00E77ECD">
        <w:rPr>
          <w:szCs w:val="24"/>
        </w:rPr>
        <w:t xml:space="preserve">, 1993). </w:t>
      </w:r>
    </w:p>
    <w:p w:rsidR="00E24DAC" w:rsidRPr="00E77ECD" w:rsidRDefault="00E77ECD" w:rsidP="00E77ECD">
      <w:pPr>
        <w:spacing w:line="360" w:lineRule="auto"/>
        <w:ind w:firstLine="426"/>
        <w:jc w:val="both"/>
        <w:rPr>
          <w:szCs w:val="24"/>
        </w:rPr>
      </w:pPr>
      <w:r w:rsidRPr="00E77ECD">
        <w:rPr>
          <w:szCs w:val="24"/>
        </w:rPr>
        <w:t>Santos e Raia Junior (2006)</w:t>
      </w:r>
      <w:r w:rsidR="00E24DAC" w:rsidRPr="00E77ECD">
        <w:rPr>
          <w:szCs w:val="24"/>
        </w:rPr>
        <w:t xml:space="preserve"> em suas reflexões, concluem que o indicador global de autocorrelação espacial como o Índice de Moran é o mais utilizado quando se deseja um sumário da distribuição espacial dos dados e, se comparado aos indicadores comumente utilizados, o índice de Moran incorpora uma dimensão bastante inovadora, pois ele testa até que ponto o nível de uma variável para uma área é similar ou não às áreas vizinhas.</w:t>
      </w:r>
    </w:p>
    <w:p w:rsidR="00EF4959" w:rsidRPr="00E77ECD" w:rsidRDefault="00E77ECD" w:rsidP="00E77ECD">
      <w:pPr>
        <w:spacing w:line="360" w:lineRule="auto"/>
        <w:ind w:firstLine="426"/>
        <w:jc w:val="both"/>
        <w:rPr>
          <w:szCs w:val="24"/>
        </w:rPr>
      </w:pPr>
      <w:r w:rsidRPr="00E77ECD">
        <w:rPr>
          <w:szCs w:val="24"/>
        </w:rPr>
        <w:t>Portanto, o</w:t>
      </w:r>
      <w:r w:rsidR="006E226F" w:rsidRPr="00E77ECD">
        <w:rPr>
          <w:szCs w:val="24"/>
        </w:rPr>
        <w:t xml:space="preserve"> intuito era, dentre outros, identificar quais </w:t>
      </w:r>
      <w:r w:rsidR="005A5A6D" w:rsidRPr="00E77ECD">
        <w:rPr>
          <w:szCs w:val="24"/>
        </w:rPr>
        <w:t>zonas</w:t>
      </w:r>
      <w:r w:rsidR="006E226F" w:rsidRPr="00E77ECD">
        <w:rPr>
          <w:szCs w:val="24"/>
        </w:rPr>
        <w:t xml:space="preserve"> </w:t>
      </w:r>
      <w:r w:rsidR="005A5A6D" w:rsidRPr="00E77ECD">
        <w:rPr>
          <w:szCs w:val="24"/>
        </w:rPr>
        <w:t>tiverem maior taxas de mortalidades</w:t>
      </w:r>
      <w:r w:rsidR="006E226F" w:rsidRPr="00E77ECD">
        <w:rPr>
          <w:szCs w:val="24"/>
        </w:rPr>
        <w:t xml:space="preserve">, e qual a intensidade da correlação espacial, a nível global, existente entre essas regiões. Pretendendo-se dessa forma, apontar quais as regiões com maior predominância de </w:t>
      </w:r>
      <w:r w:rsidR="00D908B6" w:rsidRPr="00E77ECD">
        <w:rPr>
          <w:szCs w:val="24"/>
        </w:rPr>
        <w:t>presença de ovos</w:t>
      </w:r>
      <w:r w:rsidR="006E226F" w:rsidRPr="00E77ECD">
        <w:rPr>
          <w:szCs w:val="24"/>
        </w:rPr>
        <w:t xml:space="preserve">, em relação as demais áreas, bem como, avaliar se a distribuição desse </w:t>
      </w:r>
      <w:r w:rsidR="00D908B6" w:rsidRPr="00E77ECD">
        <w:rPr>
          <w:szCs w:val="24"/>
        </w:rPr>
        <w:t>peixe</w:t>
      </w:r>
      <w:r w:rsidR="006E226F" w:rsidRPr="00E77ECD">
        <w:rPr>
          <w:szCs w:val="24"/>
        </w:rPr>
        <w:t xml:space="preserve"> é aleatória nessa região de interesse. A partir dos resultados obtidos o objetivo era </w:t>
      </w:r>
      <w:r w:rsidR="00D908B6" w:rsidRPr="00E77ECD">
        <w:rPr>
          <w:szCs w:val="24"/>
        </w:rPr>
        <w:t>verificar se as zonas de probabilidades definidas por Gigliotti et al., (2010) coincidem com as mesmas zonas da modelagem.</w:t>
      </w:r>
    </w:p>
    <w:p w:rsidR="00E77ECD" w:rsidRDefault="00E77ECD" w:rsidP="00D908B6">
      <w:pPr>
        <w:ind w:firstLine="426"/>
        <w:jc w:val="both"/>
      </w:pPr>
    </w:p>
    <w:p w:rsidR="00A774C8" w:rsidRPr="00211901" w:rsidRDefault="00A774C8" w:rsidP="00A774C8">
      <w:pPr>
        <w:pStyle w:val="Normal1"/>
        <w:numPr>
          <w:ilvl w:val="0"/>
          <w:numId w:val="2"/>
        </w:numPr>
        <w:spacing w:after="0" w:line="240" w:lineRule="auto"/>
        <w:jc w:val="both"/>
        <w:rPr>
          <w:rFonts w:ascii="Times New Roman" w:hAnsi="Times New Roman"/>
          <w:b/>
        </w:rPr>
      </w:pPr>
      <w:r w:rsidRPr="00211901">
        <w:rPr>
          <w:rFonts w:ascii="Times New Roman" w:hAnsi="Times New Roman"/>
          <w:b/>
        </w:rPr>
        <w:t>Resultados e Discuss</w:t>
      </w:r>
      <w:r>
        <w:rPr>
          <w:rFonts w:ascii="Times New Roman" w:hAnsi="Times New Roman"/>
          <w:b/>
        </w:rPr>
        <w:t>ões</w:t>
      </w:r>
    </w:p>
    <w:p w:rsidR="00A774C8" w:rsidRDefault="00A774C8" w:rsidP="00A774C8">
      <w:pPr>
        <w:pStyle w:val="Normal1"/>
        <w:numPr>
          <w:ilvl w:val="1"/>
          <w:numId w:val="4"/>
        </w:numPr>
        <w:spacing w:after="0" w:line="240" w:lineRule="auto"/>
        <w:jc w:val="both"/>
        <w:rPr>
          <w:rFonts w:ascii="Times New Roman" w:hAnsi="Times New Roman"/>
          <w:b/>
        </w:rPr>
      </w:pPr>
      <w:r w:rsidRPr="00211901">
        <w:rPr>
          <w:rFonts w:ascii="Times New Roman" w:hAnsi="Times New Roman"/>
          <w:b/>
        </w:rPr>
        <w:t>Avaliação do ROMS</w:t>
      </w:r>
    </w:p>
    <w:p w:rsidR="00E77ECD" w:rsidRPr="00211901" w:rsidRDefault="00E77ECD" w:rsidP="00E77ECD">
      <w:pPr>
        <w:pStyle w:val="Normal1"/>
        <w:spacing w:after="0" w:line="240" w:lineRule="auto"/>
        <w:ind w:left="360"/>
        <w:jc w:val="both"/>
        <w:rPr>
          <w:rFonts w:ascii="Times New Roman" w:hAnsi="Times New Roman"/>
          <w:b/>
        </w:rPr>
      </w:pPr>
    </w:p>
    <w:p w:rsidR="00A774C8" w:rsidRPr="00211901" w:rsidRDefault="00A774C8" w:rsidP="00E77ECD">
      <w:pPr>
        <w:pStyle w:val="Normal1"/>
        <w:spacing w:after="0" w:line="360" w:lineRule="auto"/>
        <w:ind w:firstLine="426"/>
        <w:jc w:val="both"/>
        <w:rPr>
          <w:rFonts w:ascii="Times New Roman" w:hAnsi="Times New Roman"/>
        </w:rPr>
      </w:pPr>
      <w:r w:rsidRPr="00211901">
        <w:rPr>
          <w:rFonts w:ascii="Times New Roman" w:hAnsi="Times New Roman"/>
        </w:rPr>
        <w:t>Os perfis latitudinais (Figura 3) e os mapas horizontais sazonais (verão e inverno) de: i) TSM com dados AVHRR (</w:t>
      </w:r>
      <w:r w:rsidRPr="00211901">
        <w:rPr>
          <w:rFonts w:ascii="Times New Roman" w:hAnsi="Times New Roman"/>
          <w:i/>
        </w:rPr>
        <w:t>Pathfinder</w:t>
      </w:r>
      <w:r w:rsidRPr="00211901">
        <w:rPr>
          <w:rFonts w:ascii="Times New Roman" w:hAnsi="Times New Roman"/>
        </w:rPr>
        <w:t xml:space="preserve"> 5.0 – nível 3); ii) ASM com dados do AVISO (tipo </w:t>
      </w:r>
      <w:r w:rsidRPr="00211901">
        <w:rPr>
          <w:rFonts w:ascii="Times New Roman" w:hAnsi="Times New Roman"/>
          <w:i/>
        </w:rPr>
        <w:t>merged</w:t>
      </w:r>
      <w:r w:rsidRPr="00211901">
        <w:rPr>
          <w:rFonts w:ascii="Times New Roman" w:hAnsi="Times New Roman"/>
        </w:rPr>
        <w:t xml:space="preserve">) e, do iii) CSM (Figura </w:t>
      </w:r>
      <w:r>
        <w:rPr>
          <w:rFonts w:ascii="Times New Roman" w:hAnsi="Times New Roman"/>
        </w:rPr>
        <w:t>4</w:t>
      </w:r>
      <w:r w:rsidRPr="00211901">
        <w:rPr>
          <w:rFonts w:ascii="Times New Roman" w:hAnsi="Times New Roman"/>
        </w:rPr>
        <w:t xml:space="preserve">) oriundo do OSCAR; representaram o regime hidrodinâmico associado à atividade de mesoescala, como </w:t>
      </w:r>
      <w:r>
        <w:rPr>
          <w:rFonts w:ascii="Times New Roman" w:hAnsi="Times New Roman"/>
        </w:rPr>
        <w:t xml:space="preserve">a </w:t>
      </w:r>
      <w:r w:rsidRPr="00211901">
        <w:rPr>
          <w:rFonts w:ascii="Times New Roman" w:hAnsi="Times New Roman"/>
        </w:rPr>
        <w:t xml:space="preserve">ressurgência de Cabo Frio, frentes e </w:t>
      </w:r>
      <w:r>
        <w:rPr>
          <w:rFonts w:ascii="Times New Roman" w:hAnsi="Times New Roman"/>
        </w:rPr>
        <w:t xml:space="preserve">vórtices </w:t>
      </w:r>
      <w:r w:rsidRPr="00211901">
        <w:rPr>
          <w:rFonts w:ascii="Times New Roman" w:hAnsi="Times New Roman"/>
        </w:rPr>
        <w:t xml:space="preserve"> </w:t>
      </w:r>
      <w:r>
        <w:rPr>
          <w:rFonts w:ascii="Times New Roman" w:hAnsi="Times New Roman"/>
        </w:rPr>
        <w:t>(</w:t>
      </w:r>
      <w:r w:rsidRPr="00211901">
        <w:rPr>
          <w:rFonts w:ascii="Times New Roman" w:hAnsi="Times New Roman"/>
        </w:rPr>
        <w:t>Gouveia, 2015).</w:t>
      </w:r>
    </w:p>
    <w:p w:rsidR="00A774C8" w:rsidRDefault="00A774C8" w:rsidP="00A774C8">
      <w:pPr>
        <w:pStyle w:val="Normal1"/>
        <w:spacing w:after="0" w:line="240" w:lineRule="auto"/>
        <w:jc w:val="center"/>
        <w:rPr>
          <w:rFonts w:ascii="Times New Roman" w:hAnsi="Times New Roman"/>
        </w:rPr>
      </w:pPr>
      <w:r w:rsidRPr="00654927">
        <w:rPr>
          <w:rFonts w:eastAsia="Droid Sans Fallback"/>
          <w:noProof/>
          <w:sz w:val="22"/>
          <w:szCs w:val="22"/>
          <w:lang w:eastAsia="pt-BR"/>
        </w:rPr>
        <w:lastRenderedPageBreak/>
        <w:drawing>
          <wp:inline distT="0" distB="0" distL="0" distR="0" wp14:anchorId="782B92B3" wp14:editId="3AA7C70D">
            <wp:extent cx="3852225" cy="3200400"/>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pic:cNvPicPr>
                      <a:picLocks noChangeAspect="1" noChangeArrowheads="1"/>
                    </pic:cNvPicPr>
                  </pic:nvPicPr>
                  <pic:blipFill>
                    <a:blip r:embed="rId7"/>
                    <a:srcRect l="4727" t="22344" r="8534" b="5582"/>
                    <a:stretch>
                      <a:fillRect/>
                    </a:stretch>
                  </pic:blipFill>
                  <pic:spPr bwMode="auto">
                    <a:xfrm>
                      <a:off x="0" y="0"/>
                      <a:ext cx="3928715" cy="3263948"/>
                    </a:xfrm>
                    <a:prstGeom prst="rect">
                      <a:avLst/>
                    </a:prstGeom>
                    <a:noFill/>
                    <a:ln w="9525">
                      <a:noFill/>
                      <a:miter lim="800000"/>
                      <a:headEnd/>
                      <a:tailEnd/>
                    </a:ln>
                  </pic:spPr>
                </pic:pic>
              </a:graphicData>
            </a:graphic>
          </wp:inline>
        </w:drawing>
      </w:r>
    </w:p>
    <w:p w:rsidR="00A774C8" w:rsidRDefault="00A774C8" w:rsidP="00A774C8">
      <w:pPr>
        <w:pStyle w:val="Normal1"/>
        <w:spacing w:after="0" w:line="240" w:lineRule="auto"/>
        <w:jc w:val="both"/>
        <w:rPr>
          <w:rFonts w:ascii="Times New Roman" w:hAnsi="Times New Roman"/>
          <w:sz w:val="22"/>
          <w:szCs w:val="22"/>
        </w:rPr>
      </w:pPr>
      <w:r w:rsidRPr="002B7FF4">
        <w:rPr>
          <w:rFonts w:ascii="Times New Roman" w:hAnsi="Times New Roman"/>
          <w:sz w:val="22"/>
          <w:szCs w:val="22"/>
        </w:rPr>
        <w:t xml:space="preserve">Figura 3- Perfil longitudinal das médias sazonais verão (dezembro, janeiro e fevereiro) e inverno (julho, agosto e setembro) da TSM (em ºC, de 1980 a 2007) no modelo ROMS e do sensor orbital AVHRR (produto </w:t>
      </w:r>
      <w:r w:rsidRPr="002B7FF4">
        <w:rPr>
          <w:rFonts w:ascii="Times New Roman" w:hAnsi="Times New Roman"/>
          <w:i/>
          <w:sz w:val="22"/>
          <w:szCs w:val="22"/>
        </w:rPr>
        <w:t>all-pixel SST</w:t>
      </w:r>
      <w:r w:rsidRPr="002B7FF4">
        <w:rPr>
          <w:rFonts w:ascii="Times New Roman" w:hAnsi="Times New Roman"/>
          <w:sz w:val="22"/>
          <w:szCs w:val="22"/>
        </w:rPr>
        <w:t>) nas latitudes 22ºS, 24ºS, 25ºS e 29ºS respectivamente.</w:t>
      </w:r>
    </w:p>
    <w:p w:rsidR="00E77ECD" w:rsidRPr="002B7FF4" w:rsidRDefault="00E77ECD" w:rsidP="00A774C8">
      <w:pPr>
        <w:pStyle w:val="Normal1"/>
        <w:spacing w:after="0" w:line="240" w:lineRule="auto"/>
        <w:jc w:val="both"/>
        <w:rPr>
          <w:rFonts w:ascii="Times New Roman" w:hAnsi="Times New Roman"/>
          <w:sz w:val="22"/>
          <w:szCs w:val="22"/>
        </w:rPr>
      </w:pPr>
    </w:p>
    <w:p w:rsidR="00A774C8" w:rsidRDefault="00A774C8" w:rsidP="00A774C8">
      <w:pPr>
        <w:pStyle w:val="Normal1"/>
        <w:spacing w:after="0" w:line="240" w:lineRule="auto"/>
        <w:jc w:val="center"/>
        <w:rPr>
          <w:rFonts w:ascii="Times New Roman" w:hAnsi="Times New Roman"/>
        </w:rPr>
      </w:pPr>
      <w:r>
        <w:rPr>
          <w:noProof/>
          <w:lang w:eastAsia="pt-BR"/>
        </w:rPr>
        <w:drawing>
          <wp:inline distT="0" distB="0" distL="0" distR="0" wp14:anchorId="518C1876" wp14:editId="06933F70">
            <wp:extent cx="4451185" cy="2316145"/>
            <wp:effectExtent l="0" t="0" r="6985" b="8255"/>
            <wp:docPr id="2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pic:cNvPicPr>
                      <a:picLocks noChangeAspect="1" noChangeArrowheads="1"/>
                    </pic:cNvPicPr>
                  </pic:nvPicPr>
                  <pic:blipFill>
                    <a:blip r:embed="rId8"/>
                    <a:stretch>
                      <a:fillRect/>
                    </a:stretch>
                  </pic:blipFill>
                  <pic:spPr bwMode="auto">
                    <a:xfrm>
                      <a:off x="0" y="0"/>
                      <a:ext cx="4503886" cy="2343568"/>
                    </a:xfrm>
                    <a:prstGeom prst="rect">
                      <a:avLst/>
                    </a:prstGeom>
                    <a:noFill/>
                    <a:ln w="9525">
                      <a:noFill/>
                      <a:miter lim="800000"/>
                      <a:headEnd/>
                      <a:tailEnd/>
                    </a:ln>
                  </pic:spPr>
                </pic:pic>
              </a:graphicData>
            </a:graphic>
          </wp:inline>
        </w:drawing>
      </w:r>
    </w:p>
    <w:p w:rsidR="00A774C8" w:rsidRPr="002B7FF4" w:rsidRDefault="00A774C8" w:rsidP="00A774C8">
      <w:pPr>
        <w:pStyle w:val="Normal1"/>
        <w:spacing w:after="0" w:line="240" w:lineRule="auto"/>
        <w:jc w:val="both"/>
        <w:rPr>
          <w:rFonts w:ascii="Times New Roman" w:hAnsi="Times New Roman"/>
          <w:sz w:val="22"/>
          <w:szCs w:val="22"/>
        </w:rPr>
      </w:pPr>
      <w:r w:rsidRPr="002B7FF4">
        <w:rPr>
          <w:rFonts w:ascii="Times New Roman" w:hAnsi="Times New Roman"/>
          <w:sz w:val="22"/>
          <w:szCs w:val="22"/>
        </w:rPr>
        <w:t>Figura 4- Velocidade da corrente (em m/s, de 1992 a 2007) para o verão (janeiro, fevereiro e março) e para o inverno (julho, agosto e setembro), do modelo ROMS, do produto OSCAR e suas respectivas diferenças. (CF, Cabo Frio; CSM, Cabo de Santa Marta).</w:t>
      </w:r>
    </w:p>
    <w:p w:rsidR="00A774C8" w:rsidRPr="00211901" w:rsidRDefault="00A774C8" w:rsidP="00A774C8">
      <w:pPr>
        <w:pStyle w:val="Normal1"/>
        <w:spacing w:after="0" w:line="240" w:lineRule="auto"/>
        <w:jc w:val="center"/>
        <w:rPr>
          <w:rFonts w:ascii="Times New Roman" w:hAnsi="Times New Roman"/>
        </w:rPr>
      </w:pPr>
    </w:p>
    <w:p w:rsidR="00A774C8" w:rsidRDefault="00A774C8" w:rsidP="00A774C8">
      <w:pPr>
        <w:pStyle w:val="Normal1"/>
        <w:numPr>
          <w:ilvl w:val="1"/>
          <w:numId w:val="3"/>
        </w:numPr>
        <w:spacing w:after="0" w:line="240" w:lineRule="auto"/>
        <w:jc w:val="both"/>
        <w:rPr>
          <w:rFonts w:ascii="Times New Roman" w:hAnsi="Times New Roman"/>
          <w:b/>
        </w:rPr>
      </w:pPr>
      <w:r w:rsidRPr="00211901">
        <w:rPr>
          <w:rFonts w:ascii="Times New Roman" w:hAnsi="Times New Roman"/>
          <w:b/>
        </w:rPr>
        <w:t>Dispersão e sobrevivência de ovos e larvas</w:t>
      </w:r>
    </w:p>
    <w:p w:rsidR="00E77ECD" w:rsidRPr="00211901" w:rsidRDefault="00E77ECD" w:rsidP="00E77ECD">
      <w:pPr>
        <w:pStyle w:val="Normal1"/>
        <w:spacing w:after="0" w:line="240" w:lineRule="auto"/>
        <w:ind w:left="360"/>
        <w:jc w:val="both"/>
        <w:rPr>
          <w:rFonts w:ascii="Times New Roman" w:hAnsi="Times New Roman"/>
          <w:b/>
        </w:rPr>
      </w:pPr>
    </w:p>
    <w:p w:rsidR="00A774C8" w:rsidRPr="00211901" w:rsidRDefault="00A774C8" w:rsidP="00E77ECD">
      <w:pPr>
        <w:spacing w:line="360" w:lineRule="auto"/>
        <w:ind w:firstLine="426"/>
        <w:jc w:val="both"/>
        <w:rPr>
          <w:szCs w:val="24"/>
        </w:rPr>
      </w:pPr>
      <w:r>
        <w:rPr>
          <w:szCs w:val="24"/>
        </w:rPr>
        <w:t>A mortalidade dos estág</w:t>
      </w:r>
      <w:r w:rsidRPr="00211901">
        <w:rPr>
          <w:szCs w:val="24"/>
        </w:rPr>
        <w:t xml:space="preserve">ios iniciais da vida é geralmente alta nos primeiros dias da experiência de desova </w:t>
      </w:r>
      <w:r w:rsidR="00620102">
        <w:rPr>
          <w:szCs w:val="24"/>
        </w:rPr>
        <w:t>por zonas</w:t>
      </w:r>
      <w:r w:rsidRPr="00211901">
        <w:rPr>
          <w:szCs w:val="24"/>
        </w:rPr>
        <w:t xml:space="preserve"> com pouca variação entre anos de máximo e mínimo desembarques da sardinha. Pode-se observar, entretanto, que a mortalidade nos primeiros dias é maior antes de mínimos desembarques em comparação com anos de máximo</w:t>
      </w:r>
      <w:r w:rsidR="00620102">
        <w:rPr>
          <w:szCs w:val="24"/>
        </w:rPr>
        <w:t>s</w:t>
      </w:r>
      <w:r w:rsidRPr="00211901">
        <w:rPr>
          <w:szCs w:val="24"/>
        </w:rPr>
        <w:t>.</w:t>
      </w:r>
    </w:p>
    <w:p w:rsidR="00A774C8" w:rsidRDefault="00A774C8" w:rsidP="00E77ECD">
      <w:pPr>
        <w:pStyle w:val="Normal1"/>
        <w:tabs>
          <w:tab w:val="left" w:pos="7500"/>
        </w:tabs>
        <w:spacing w:after="0" w:line="360" w:lineRule="auto"/>
        <w:ind w:firstLine="426"/>
        <w:jc w:val="both"/>
        <w:rPr>
          <w:rFonts w:ascii="Times New Roman" w:hAnsi="Times New Roman"/>
          <w:lang w:eastAsia="pt-BR"/>
        </w:rPr>
      </w:pPr>
      <w:r>
        <w:rPr>
          <w:rFonts w:ascii="Times New Roman" w:hAnsi="Times New Roman"/>
          <w:lang w:eastAsia="pt-BR"/>
        </w:rPr>
        <w:t>As diferenças nos valores de</w:t>
      </w:r>
      <w:r w:rsidRPr="00211901">
        <w:rPr>
          <w:rFonts w:ascii="Times New Roman" w:hAnsi="Times New Roman"/>
          <w:lang w:eastAsia="pt-BR"/>
        </w:rPr>
        <w:t xml:space="preserve"> mortalidade por temperatura e por advecção </w:t>
      </w:r>
      <w:r>
        <w:rPr>
          <w:rFonts w:ascii="Times New Roman" w:hAnsi="Times New Roman"/>
          <w:lang w:eastAsia="pt-BR"/>
        </w:rPr>
        <w:t>relativos às desovas que precederam os</w:t>
      </w:r>
      <w:r w:rsidRPr="00211901">
        <w:rPr>
          <w:rFonts w:ascii="Times New Roman" w:hAnsi="Times New Roman"/>
          <w:lang w:eastAsia="pt-BR"/>
        </w:rPr>
        <w:t xml:space="preserve"> extremos</w:t>
      </w:r>
      <w:r>
        <w:rPr>
          <w:rFonts w:ascii="Times New Roman" w:hAnsi="Times New Roman"/>
          <w:lang w:eastAsia="pt-BR"/>
        </w:rPr>
        <w:t xml:space="preserve"> de desembarque</w:t>
      </w:r>
      <w:r w:rsidRPr="00211901">
        <w:rPr>
          <w:rFonts w:ascii="Times New Roman" w:hAnsi="Times New Roman"/>
          <w:lang w:eastAsia="pt-BR"/>
        </w:rPr>
        <w:t xml:space="preserve"> não foram significativos entre </w:t>
      </w:r>
      <w:r w:rsidRPr="00211901">
        <w:rPr>
          <w:rFonts w:ascii="Times New Roman" w:hAnsi="Times New Roman"/>
          <w:lang w:eastAsia="pt-BR"/>
        </w:rPr>
        <w:lastRenderedPageBreak/>
        <w:t>sí</w:t>
      </w:r>
      <w:r>
        <w:rPr>
          <w:rFonts w:ascii="Times New Roman" w:hAnsi="Times New Roman"/>
          <w:lang w:eastAsia="pt-BR"/>
        </w:rPr>
        <w:t xml:space="preserve"> (Tabela 1</w:t>
      </w:r>
      <w:r w:rsidRPr="00211901">
        <w:rPr>
          <w:rFonts w:ascii="Times New Roman" w:hAnsi="Times New Roman"/>
          <w:lang w:eastAsia="pt-BR"/>
        </w:rPr>
        <w:t>). O que representa apenas uma variação casual dos extremos da série temporal, que podem ser atribuídos a faltam de alimentos, predação e do recrutamento relacionado ao ano seguinte.</w:t>
      </w:r>
    </w:p>
    <w:p w:rsidR="00A774C8" w:rsidRDefault="00A774C8" w:rsidP="00A774C8">
      <w:pPr>
        <w:pStyle w:val="Normal1"/>
        <w:tabs>
          <w:tab w:val="left" w:pos="7500"/>
        </w:tabs>
        <w:spacing w:after="0" w:line="240" w:lineRule="auto"/>
        <w:ind w:firstLine="426"/>
        <w:jc w:val="both"/>
        <w:rPr>
          <w:rFonts w:ascii="Times New Roman" w:hAnsi="Times New Roman"/>
          <w:lang w:eastAsia="pt-BR"/>
        </w:rPr>
      </w:pPr>
    </w:p>
    <w:p w:rsidR="00A774C8" w:rsidRPr="002B7FF4" w:rsidRDefault="00A774C8" w:rsidP="00A774C8">
      <w:pPr>
        <w:pStyle w:val="Normal1"/>
        <w:tabs>
          <w:tab w:val="left" w:pos="7500"/>
        </w:tabs>
        <w:spacing w:after="0" w:line="240" w:lineRule="auto"/>
        <w:jc w:val="both"/>
        <w:rPr>
          <w:rFonts w:ascii="Times New Roman" w:hAnsi="Times New Roman"/>
          <w:sz w:val="22"/>
          <w:szCs w:val="22"/>
        </w:rPr>
      </w:pPr>
      <w:r w:rsidRPr="002B7FF4">
        <w:rPr>
          <w:rFonts w:ascii="Times New Roman" w:hAnsi="Times New Roman"/>
          <w:sz w:val="22"/>
          <w:szCs w:val="22"/>
        </w:rPr>
        <w:t xml:space="preserve">Tabela 1- Resultado do teste de Kruskal-wallis do experimento aleatório </w:t>
      </w:r>
      <w:r>
        <w:rPr>
          <w:rFonts w:ascii="Times New Roman" w:hAnsi="Times New Roman"/>
          <w:sz w:val="22"/>
          <w:szCs w:val="22"/>
        </w:rPr>
        <w:t xml:space="preserve">e por zonas </w:t>
      </w:r>
      <w:r w:rsidRPr="002B7FF4">
        <w:rPr>
          <w:rFonts w:ascii="Times New Roman" w:hAnsi="Times New Roman"/>
          <w:sz w:val="22"/>
          <w:szCs w:val="22"/>
        </w:rPr>
        <w:t xml:space="preserve">para mortalidade por temperatura e por perda de advecção. Morte T (morte por temperatura). Morte A (morte por advecção). SS (somas dos quadrados). df (graus de liberdade). MS (erro quadrático médio). F (razão entre a média do quadrado de erros). Prob (valor de </w:t>
      </w:r>
      <w:r w:rsidRPr="002B7FF4">
        <w:rPr>
          <w:rFonts w:ascii="Times New Roman" w:hAnsi="Times New Roman"/>
          <w:i/>
          <w:sz w:val="22"/>
          <w:szCs w:val="22"/>
        </w:rPr>
        <w:t>p</w:t>
      </w:r>
      <w:r w:rsidRPr="002B7FF4">
        <w:rPr>
          <w:rFonts w:ascii="Times New Roman" w:hAnsi="Times New Roman"/>
          <w:sz w:val="22"/>
          <w:szCs w:val="22"/>
        </w:rPr>
        <w:t xml:space="preserve"> para aceitar ou rejeitar a hipótese nula).</w:t>
      </w:r>
    </w:p>
    <w:tbl>
      <w:tblPr>
        <w:tblW w:w="0" w:type="auto"/>
        <w:tblBorders>
          <w:top w:val="single" w:sz="4" w:space="0" w:color="00000A"/>
          <w:left w:val="nil"/>
          <w:bottom w:val="single" w:sz="4" w:space="0" w:color="00000A"/>
          <w:right w:val="nil"/>
          <w:insideH w:val="single" w:sz="4" w:space="0" w:color="00000A"/>
          <w:insideV w:val="nil"/>
        </w:tblBorders>
        <w:tblCellMar>
          <w:left w:w="113" w:type="dxa"/>
        </w:tblCellMar>
        <w:tblLook w:val="04A0" w:firstRow="1" w:lastRow="0" w:firstColumn="1" w:lastColumn="0" w:noHBand="0" w:noVBand="1"/>
      </w:tblPr>
      <w:tblGrid>
        <w:gridCol w:w="1415"/>
        <w:gridCol w:w="1413"/>
        <w:gridCol w:w="1416"/>
        <w:gridCol w:w="1417"/>
        <w:gridCol w:w="1417"/>
        <w:gridCol w:w="1418"/>
      </w:tblGrid>
      <w:tr w:rsidR="00A774C8" w:rsidRPr="002B7FF4" w:rsidTr="00620102">
        <w:tc>
          <w:tcPr>
            <w:tcW w:w="8496" w:type="dxa"/>
            <w:gridSpan w:val="6"/>
            <w:tcBorders>
              <w:top w:val="single" w:sz="4" w:space="0" w:color="00000A"/>
              <w:left w:val="nil"/>
              <w:bottom w:val="single" w:sz="4" w:space="0" w:color="00000A"/>
              <w:right w:val="nil"/>
            </w:tcBorders>
            <w:shd w:val="clear" w:color="auto" w:fill="auto"/>
          </w:tcPr>
          <w:p w:rsidR="00A774C8" w:rsidRPr="002B7FF4" w:rsidRDefault="00A774C8" w:rsidP="00D95B1C">
            <w:pPr>
              <w:pStyle w:val="Normal1"/>
              <w:tabs>
                <w:tab w:val="left" w:pos="7500"/>
              </w:tabs>
              <w:spacing w:after="0" w:line="240" w:lineRule="auto"/>
              <w:jc w:val="center"/>
              <w:rPr>
                <w:rFonts w:ascii="Times New Roman" w:hAnsi="Times New Roman"/>
                <w:b/>
                <w:sz w:val="22"/>
                <w:szCs w:val="22"/>
                <w:lang w:eastAsia="pt-BR"/>
              </w:rPr>
            </w:pPr>
            <w:r w:rsidRPr="002B7FF4">
              <w:rPr>
                <w:rFonts w:ascii="Times New Roman" w:hAnsi="Times New Roman"/>
                <w:b/>
                <w:sz w:val="22"/>
                <w:szCs w:val="22"/>
                <w:lang w:eastAsia="pt-BR"/>
              </w:rPr>
              <w:t>Morte T – Exp. Por Zonas</w:t>
            </w:r>
          </w:p>
        </w:tc>
      </w:tr>
      <w:tr w:rsidR="00A774C8" w:rsidRPr="002B7FF4" w:rsidTr="00620102">
        <w:tc>
          <w:tcPr>
            <w:tcW w:w="1415" w:type="dxa"/>
            <w:tcBorders>
              <w:top w:val="single" w:sz="4" w:space="0" w:color="00000A"/>
              <w:left w:val="nil"/>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Fonte</w:t>
            </w:r>
          </w:p>
        </w:tc>
        <w:tc>
          <w:tcPr>
            <w:tcW w:w="1413"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SS</w:t>
            </w:r>
          </w:p>
        </w:tc>
        <w:tc>
          <w:tcPr>
            <w:tcW w:w="1416"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df</w:t>
            </w:r>
          </w:p>
        </w:tc>
        <w:tc>
          <w:tcPr>
            <w:tcW w:w="1417"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MS</w:t>
            </w:r>
          </w:p>
        </w:tc>
        <w:tc>
          <w:tcPr>
            <w:tcW w:w="1417"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Chi-sq</w:t>
            </w:r>
          </w:p>
        </w:tc>
        <w:tc>
          <w:tcPr>
            <w:tcW w:w="1418" w:type="dxa"/>
            <w:tcBorders>
              <w:top w:val="single" w:sz="4" w:space="0" w:color="00000A"/>
              <w:left w:val="single" w:sz="4" w:space="0" w:color="auto"/>
              <w:bottom w:val="single" w:sz="4" w:space="0" w:color="auto"/>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Prob</w:t>
            </w:r>
          </w:p>
        </w:tc>
      </w:tr>
      <w:tr w:rsidR="00A774C8" w:rsidRPr="002B7FF4" w:rsidTr="00620102">
        <w:tc>
          <w:tcPr>
            <w:tcW w:w="1415" w:type="dxa"/>
            <w:tcBorders>
              <w:top w:val="single" w:sz="4" w:space="0" w:color="auto"/>
              <w:left w:val="nil"/>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Grupos</w:t>
            </w:r>
          </w:p>
        </w:tc>
        <w:tc>
          <w:tcPr>
            <w:tcW w:w="1413"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30,25</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30,25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1,06</w:t>
            </w:r>
          </w:p>
        </w:tc>
        <w:tc>
          <w:tcPr>
            <w:tcW w:w="1418" w:type="dxa"/>
            <w:tcBorders>
              <w:top w:val="single" w:sz="4" w:space="0" w:color="auto"/>
              <w:left w:val="single" w:sz="4" w:space="0" w:color="auto"/>
              <w:bottom w:val="single" w:sz="4" w:space="0" w:color="auto"/>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0,3029</w:t>
            </w:r>
          </w:p>
        </w:tc>
      </w:tr>
      <w:tr w:rsidR="00A774C8" w:rsidRPr="002B7FF4" w:rsidTr="00620102">
        <w:tc>
          <w:tcPr>
            <w:tcW w:w="1415" w:type="dxa"/>
            <w:tcBorders>
              <w:top w:val="single" w:sz="4" w:space="0" w:color="auto"/>
              <w:left w:val="nil"/>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Erro</w:t>
            </w:r>
          </w:p>
        </w:tc>
        <w:tc>
          <w:tcPr>
            <w:tcW w:w="1413"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454,25</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16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28,3906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c>
          <w:tcPr>
            <w:tcW w:w="1418" w:type="dxa"/>
            <w:tcBorders>
              <w:top w:val="single" w:sz="4" w:space="0" w:color="auto"/>
              <w:left w:val="single" w:sz="4" w:space="0" w:color="auto"/>
              <w:bottom w:val="single" w:sz="4" w:space="0" w:color="auto"/>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r>
      <w:tr w:rsidR="00A774C8" w:rsidRPr="002B7FF4" w:rsidTr="00620102">
        <w:tc>
          <w:tcPr>
            <w:tcW w:w="1415" w:type="dxa"/>
            <w:tcBorders>
              <w:top w:val="single" w:sz="4" w:space="0" w:color="auto"/>
              <w:left w:val="nil"/>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Total</w:t>
            </w:r>
          </w:p>
        </w:tc>
        <w:tc>
          <w:tcPr>
            <w:tcW w:w="1413"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484,5</w:t>
            </w:r>
          </w:p>
        </w:tc>
        <w:tc>
          <w:tcPr>
            <w:tcW w:w="1416"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17</w:t>
            </w:r>
          </w:p>
        </w:tc>
        <w:tc>
          <w:tcPr>
            <w:tcW w:w="1417"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c>
          <w:tcPr>
            <w:tcW w:w="1417"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c>
          <w:tcPr>
            <w:tcW w:w="1418" w:type="dxa"/>
            <w:tcBorders>
              <w:top w:val="single" w:sz="4" w:space="0" w:color="auto"/>
              <w:left w:val="single" w:sz="4" w:space="0" w:color="auto"/>
              <w:bottom w:val="single" w:sz="4" w:space="0" w:color="00000A"/>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r>
      <w:tr w:rsidR="00A774C8" w:rsidRPr="002B7FF4" w:rsidTr="00620102">
        <w:tc>
          <w:tcPr>
            <w:tcW w:w="8496" w:type="dxa"/>
            <w:gridSpan w:val="6"/>
            <w:tcBorders>
              <w:top w:val="single" w:sz="4" w:space="0" w:color="00000A"/>
              <w:left w:val="nil"/>
              <w:bottom w:val="single" w:sz="4" w:space="0" w:color="00000A"/>
              <w:right w:val="nil"/>
            </w:tcBorders>
            <w:shd w:val="clear" w:color="auto" w:fill="auto"/>
          </w:tcPr>
          <w:p w:rsidR="00A774C8" w:rsidRPr="002B7FF4" w:rsidRDefault="00A774C8" w:rsidP="00D95B1C">
            <w:pPr>
              <w:pStyle w:val="Normal1"/>
              <w:tabs>
                <w:tab w:val="left" w:pos="7500"/>
              </w:tabs>
              <w:spacing w:after="0" w:line="240" w:lineRule="auto"/>
              <w:jc w:val="center"/>
              <w:rPr>
                <w:rFonts w:ascii="Times New Roman" w:hAnsi="Times New Roman"/>
                <w:b/>
                <w:sz w:val="22"/>
                <w:szCs w:val="22"/>
                <w:lang w:eastAsia="pt-BR"/>
              </w:rPr>
            </w:pPr>
            <w:r w:rsidRPr="002B7FF4">
              <w:rPr>
                <w:rFonts w:ascii="Times New Roman" w:hAnsi="Times New Roman"/>
                <w:b/>
                <w:sz w:val="22"/>
                <w:szCs w:val="22"/>
                <w:lang w:eastAsia="pt-BR"/>
              </w:rPr>
              <w:t>Morte A– Exp. Por Zonas</w:t>
            </w:r>
          </w:p>
        </w:tc>
      </w:tr>
      <w:tr w:rsidR="00A774C8" w:rsidRPr="002B7FF4" w:rsidTr="00620102">
        <w:tc>
          <w:tcPr>
            <w:tcW w:w="1415" w:type="dxa"/>
            <w:tcBorders>
              <w:top w:val="single" w:sz="4" w:space="0" w:color="00000A"/>
              <w:left w:val="nil"/>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Fonte</w:t>
            </w:r>
          </w:p>
        </w:tc>
        <w:tc>
          <w:tcPr>
            <w:tcW w:w="1413"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SS</w:t>
            </w:r>
          </w:p>
        </w:tc>
        <w:tc>
          <w:tcPr>
            <w:tcW w:w="1416"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df</w:t>
            </w:r>
          </w:p>
        </w:tc>
        <w:tc>
          <w:tcPr>
            <w:tcW w:w="1417"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MS</w:t>
            </w:r>
          </w:p>
        </w:tc>
        <w:tc>
          <w:tcPr>
            <w:tcW w:w="1417"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Chi-sq</w:t>
            </w:r>
          </w:p>
        </w:tc>
        <w:tc>
          <w:tcPr>
            <w:tcW w:w="1418" w:type="dxa"/>
            <w:tcBorders>
              <w:top w:val="single" w:sz="4" w:space="0" w:color="00000A"/>
              <w:left w:val="single" w:sz="4" w:space="0" w:color="auto"/>
              <w:bottom w:val="single" w:sz="4" w:space="0" w:color="auto"/>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Prob</w:t>
            </w:r>
          </w:p>
        </w:tc>
      </w:tr>
      <w:tr w:rsidR="00A774C8" w:rsidRPr="002B7FF4" w:rsidTr="00620102">
        <w:tc>
          <w:tcPr>
            <w:tcW w:w="1415" w:type="dxa"/>
            <w:tcBorders>
              <w:top w:val="single" w:sz="4" w:space="0" w:color="auto"/>
              <w:left w:val="nil"/>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Grupos</w:t>
            </w:r>
          </w:p>
        </w:tc>
        <w:tc>
          <w:tcPr>
            <w:tcW w:w="1413"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27,563</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27,5625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0,98</w:t>
            </w:r>
          </w:p>
        </w:tc>
        <w:tc>
          <w:tcPr>
            <w:tcW w:w="1418" w:type="dxa"/>
            <w:tcBorders>
              <w:top w:val="single" w:sz="4" w:space="0" w:color="auto"/>
              <w:left w:val="single" w:sz="4" w:space="0" w:color="auto"/>
              <w:bottom w:val="single" w:sz="4" w:space="0" w:color="auto"/>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0,3229</w:t>
            </w:r>
          </w:p>
        </w:tc>
      </w:tr>
      <w:tr w:rsidR="00A774C8" w:rsidRPr="002B7FF4" w:rsidTr="00620102">
        <w:tc>
          <w:tcPr>
            <w:tcW w:w="1415" w:type="dxa"/>
            <w:tcBorders>
              <w:top w:val="single" w:sz="4" w:space="0" w:color="auto"/>
              <w:left w:val="nil"/>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Erro</w:t>
            </w:r>
          </w:p>
        </w:tc>
        <w:tc>
          <w:tcPr>
            <w:tcW w:w="1413"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451,938</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16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28,2461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c>
          <w:tcPr>
            <w:tcW w:w="1418" w:type="dxa"/>
            <w:tcBorders>
              <w:top w:val="single" w:sz="4" w:space="0" w:color="auto"/>
              <w:left w:val="single" w:sz="4" w:space="0" w:color="auto"/>
              <w:bottom w:val="single" w:sz="4" w:space="0" w:color="auto"/>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r>
      <w:tr w:rsidR="00A774C8" w:rsidRPr="002B7FF4" w:rsidTr="00620102">
        <w:tc>
          <w:tcPr>
            <w:tcW w:w="1415" w:type="dxa"/>
            <w:tcBorders>
              <w:top w:val="single" w:sz="4" w:space="0" w:color="auto"/>
              <w:left w:val="nil"/>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Total</w:t>
            </w:r>
          </w:p>
        </w:tc>
        <w:tc>
          <w:tcPr>
            <w:tcW w:w="1413"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479,5</w:t>
            </w:r>
          </w:p>
        </w:tc>
        <w:tc>
          <w:tcPr>
            <w:tcW w:w="1416"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17</w:t>
            </w:r>
          </w:p>
        </w:tc>
        <w:tc>
          <w:tcPr>
            <w:tcW w:w="1417"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c>
          <w:tcPr>
            <w:tcW w:w="1417"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c>
          <w:tcPr>
            <w:tcW w:w="1418" w:type="dxa"/>
            <w:tcBorders>
              <w:top w:val="single" w:sz="4" w:space="0" w:color="auto"/>
              <w:left w:val="single" w:sz="4" w:space="0" w:color="auto"/>
              <w:bottom w:val="single" w:sz="4" w:space="0" w:color="00000A"/>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r>
      <w:tr w:rsidR="00A774C8" w:rsidRPr="002B7FF4" w:rsidTr="00620102">
        <w:tc>
          <w:tcPr>
            <w:tcW w:w="8496" w:type="dxa"/>
            <w:gridSpan w:val="6"/>
            <w:tcBorders>
              <w:top w:val="single" w:sz="4" w:space="0" w:color="00000A"/>
              <w:left w:val="nil"/>
              <w:bottom w:val="single" w:sz="4" w:space="0" w:color="00000A"/>
              <w:right w:val="nil"/>
            </w:tcBorders>
            <w:shd w:val="clear" w:color="auto" w:fill="auto"/>
          </w:tcPr>
          <w:p w:rsidR="00A774C8" w:rsidRPr="002B7FF4" w:rsidRDefault="00A774C8" w:rsidP="00D95B1C">
            <w:pPr>
              <w:pStyle w:val="Normal1"/>
              <w:tabs>
                <w:tab w:val="left" w:pos="7500"/>
              </w:tabs>
              <w:spacing w:after="0" w:line="240" w:lineRule="auto"/>
              <w:jc w:val="center"/>
              <w:rPr>
                <w:rFonts w:ascii="Times New Roman" w:hAnsi="Times New Roman"/>
                <w:b/>
                <w:sz w:val="22"/>
                <w:szCs w:val="22"/>
                <w:lang w:eastAsia="pt-BR"/>
              </w:rPr>
            </w:pPr>
            <w:r w:rsidRPr="002B7FF4">
              <w:rPr>
                <w:rFonts w:ascii="Times New Roman" w:hAnsi="Times New Roman"/>
                <w:b/>
                <w:sz w:val="22"/>
                <w:szCs w:val="22"/>
                <w:lang w:eastAsia="pt-BR"/>
              </w:rPr>
              <w:t>Morte T x Morte A– Exp. Por Zonas</w:t>
            </w:r>
          </w:p>
        </w:tc>
      </w:tr>
      <w:tr w:rsidR="00A774C8" w:rsidRPr="002B7FF4" w:rsidTr="00620102">
        <w:tc>
          <w:tcPr>
            <w:tcW w:w="1415" w:type="dxa"/>
            <w:tcBorders>
              <w:top w:val="single" w:sz="4" w:space="0" w:color="00000A"/>
              <w:left w:val="nil"/>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Fonte</w:t>
            </w:r>
          </w:p>
        </w:tc>
        <w:tc>
          <w:tcPr>
            <w:tcW w:w="1413"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SS</w:t>
            </w:r>
          </w:p>
        </w:tc>
        <w:tc>
          <w:tcPr>
            <w:tcW w:w="1416"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df</w:t>
            </w:r>
          </w:p>
        </w:tc>
        <w:tc>
          <w:tcPr>
            <w:tcW w:w="1417"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MS</w:t>
            </w:r>
          </w:p>
        </w:tc>
        <w:tc>
          <w:tcPr>
            <w:tcW w:w="1417" w:type="dxa"/>
            <w:tcBorders>
              <w:top w:val="single" w:sz="4" w:space="0" w:color="00000A"/>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Chi-sq</w:t>
            </w:r>
          </w:p>
        </w:tc>
        <w:tc>
          <w:tcPr>
            <w:tcW w:w="1418" w:type="dxa"/>
            <w:tcBorders>
              <w:top w:val="single" w:sz="4" w:space="0" w:color="00000A"/>
              <w:left w:val="single" w:sz="4" w:space="0" w:color="auto"/>
              <w:bottom w:val="single" w:sz="4" w:space="0" w:color="auto"/>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Prob</w:t>
            </w:r>
          </w:p>
        </w:tc>
      </w:tr>
      <w:tr w:rsidR="00A774C8" w:rsidRPr="002B7FF4" w:rsidTr="00620102">
        <w:tc>
          <w:tcPr>
            <w:tcW w:w="1415" w:type="dxa"/>
            <w:tcBorders>
              <w:top w:val="single" w:sz="4" w:space="0" w:color="auto"/>
              <w:left w:val="nil"/>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Grupos</w:t>
            </w:r>
          </w:p>
        </w:tc>
        <w:tc>
          <w:tcPr>
            <w:tcW w:w="1413"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2916</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2916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26,3</w:t>
            </w:r>
          </w:p>
        </w:tc>
        <w:tc>
          <w:tcPr>
            <w:tcW w:w="1418" w:type="dxa"/>
            <w:tcBorders>
              <w:top w:val="single" w:sz="4" w:space="0" w:color="auto"/>
              <w:left w:val="single" w:sz="4" w:space="0" w:color="auto"/>
              <w:bottom w:val="single" w:sz="4" w:space="0" w:color="auto"/>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2,9166e-7</w:t>
            </w:r>
          </w:p>
        </w:tc>
      </w:tr>
      <w:tr w:rsidR="00A774C8" w:rsidRPr="002B7FF4" w:rsidTr="00620102">
        <w:tc>
          <w:tcPr>
            <w:tcW w:w="1415" w:type="dxa"/>
            <w:tcBorders>
              <w:top w:val="single" w:sz="4" w:space="0" w:color="auto"/>
              <w:left w:val="nil"/>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Erro</w:t>
            </w:r>
          </w:p>
        </w:tc>
        <w:tc>
          <w:tcPr>
            <w:tcW w:w="1413"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964</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34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28,53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c>
          <w:tcPr>
            <w:tcW w:w="1418" w:type="dxa"/>
            <w:tcBorders>
              <w:top w:val="single" w:sz="4" w:space="0" w:color="auto"/>
              <w:left w:val="single" w:sz="4" w:space="0" w:color="auto"/>
              <w:bottom w:val="single" w:sz="4" w:space="0" w:color="auto"/>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r>
      <w:tr w:rsidR="00A774C8" w:rsidRPr="0063770E" w:rsidTr="00620102">
        <w:tc>
          <w:tcPr>
            <w:tcW w:w="1415" w:type="dxa"/>
            <w:tcBorders>
              <w:top w:val="single" w:sz="4" w:space="0" w:color="auto"/>
              <w:left w:val="nil"/>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b/>
                <w:sz w:val="22"/>
                <w:szCs w:val="22"/>
                <w:lang w:eastAsia="pt-BR"/>
              </w:rPr>
            </w:pPr>
            <w:r w:rsidRPr="002B7FF4">
              <w:rPr>
                <w:rFonts w:ascii="Times New Roman" w:hAnsi="Times New Roman"/>
                <w:b/>
                <w:sz w:val="22"/>
                <w:szCs w:val="22"/>
                <w:lang w:eastAsia="pt-BR"/>
              </w:rPr>
              <w:t>Total</w:t>
            </w:r>
          </w:p>
        </w:tc>
        <w:tc>
          <w:tcPr>
            <w:tcW w:w="1413"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3880</w:t>
            </w:r>
          </w:p>
        </w:tc>
        <w:tc>
          <w:tcPr>
            <w:tcW w:w="1416"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r w:rsidRPr="002B7FF4">
              <w:rPr>
                <w:rFonts w:ascii="Times New Roman" w:hAnsi="Times New Roman"/>
                <w:sz w:val="22"/>
                <w:szCs w:val="22"/>
                <w:lang w:eastAsia="pt-BR"/>
              </w:rPr>
              <w:t>35</w:t>
            </w:r>
          </w:p>
        </w:tc>
        <w:tc>
          <w:tcPr>
            <w:tcW w:w="1417"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c>
          <w:tcPr>
            <w:tcW w:w="1417" w:type="dxa"/>
            <w:tcBorders>
              <w:top w:val="single" w:sz="4" w:space="0" w:color="auto"/>
              <w:left w:val="single" w:sz="4" w:space="0" w:color="auto"/>
              <w:bottom w:val="single" w:sz="4" w:space="0" w:color="00000A"/>
              <w:right w:val="single" w:sz="4" w:space="0" w:color="auto"/>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c>
          <w:tcPr>
            <w:tcW w:w="1418" w:type="dxa"/>
            <w:tcBorders>
              <w:top w:val="single" w:sz="4" w:space="0" w:color="auto"/>
              <w:left w:val="single" w:sz="4" w:space="0" w:color="auto"/>
              <w:bottom w:val="single" w:sz="4" w:space="0" w:color="00000A"/>
              <w:right w:val="nil"/>
            </w:tcBorders>
            <w:shd w:val="clear" w:color="auto" w:fill="auto"/>
          </w:tcPr>
          <w:p w:rsidR="00A774C8" w:rsidRPr="002B7FF4" w:rsidRDefault="00A774C8" w:rsidP="00D95B1C">
            <w:pPr>
              <w:pStyle w:val="Normal1"/>
              <w:tabs>
                <w:tab w:val="left" w:pos="7500"/>
              </w:tabs>
              <w:spacing w:after="0" w:line="240" w:lineRule="auto"/>
              <w:jc w:val="both"/>
              <w:rPr>
                <w:rFonts w:ascii="Times New Roman" w:hAnsi="Times New Roman"/>
                <w:sz w:val="22"/>
                <w:szCs w:val="22"/>
                <w:lang w:eastAsia="pt-BR"/>
              </w:rPr>
            </w:pPr>
          </w:p>
        </w:tc>
      </w:tr>
    </w:tbl>
    <w:p w:rsidR="00A774C8" w:rsidRPr="00211901" w:rsidRDefault="00A774C8" w:rsidP="00A774C8">
      <w:pPr>
        <w:pStyle w:val="Normal1"/>
        <w:tabs>
          <w:tab w:val="left" w:pos="7500"/>
        </w:tabs>
        <w:spacing w:after="0" w:line="240" w:lineRule="auto"/>
        <w:ind w:firstLine="426"/>
        <w:jc w:val="both"/>
        <w:rPr>
          <w:rFonts w:ascii="Times New Roman" w:hAnsi="Times New Roman"/>
          <w:lang w:eastAsia="pt-BR"/>
        </w:rPr>
      </w:pPr>
    </w:p>
    <w:p w:rsidR="00A774C8" w:rsidRPr="00211901" w:rsidRDefault="00A774C8" w:rsidP="00450D85">
      <w:pPr>
        <w:pStyle w:val="Normal1"/>
        <w:tabs>
          <w:tab w:val="left" w:pos="7500"/>
        </w:tabs>
        <w:spacing w:after="0" w:line="360" w:lineRule="auto"/>
        <w:ind w:firstLine="426"/>
        <w:jc w:val="both"/>
        <w:rPr>
          <w:rFonts w:ascii="Times New Roman" w:hAnsi="Times New Roman"/>
          <w:lang w:eastAsia="pt-BR"/>
        </w:rPr>
      </w:pPr>
      <w:r w:rsidRPr="00211901">
        <w:rPr>
          <w:rFonts w:ascii="Times New Roman" w:hAnsi="Times New Roman"/>
          <w:lang w:eastAsia="pt-BR"/>
        </w:rPr>
        <w:t>Porém, a mortalidade por baixa temperatura foi significativamente maior que por advecção (</w:t>
      </w:r>
      <w:r>
        <w:rPr>
          <w:rFonts w:ascii="Times New Roman" w:hAnsi="Times New Roman"/>
          <w:lang w:eastAsia="pt-BR"/>
        </w:rPr>
        <w:t>Tabela 1</w:t>
      </w:r>
      <w:r w:rsidRPr="00211901">
        <w:rPr>
          <w:rFonts w:ascii="Times New Roman" w:hAnsi="Times New Roman"/>
          <w:lang w:eastAsia="pt-BR"/>
        </w:rPr>
        <w:t xml:space="preserve">) </w:t>
      </w:r>
      <w:r w:rsidR="002F300D">
        <w:rPr>
          <w:rFonts w:ascii="Times New Roman" w:hAnsi="Times New Roman"/>
        </w:rPr>
        <w:t>no experimento</w:t>
      </w:r>
      <w:r w:rsidRPr="00211901">
        <w:rPr>
          <w:rFonts w:ascii="Times New Roman" w:hAnsi="Times New Roman"/>
        </w:rPr>
        <w:t xml:space="preserve"> por zonas (p ​​= 2,91665e-7). </w:t>
      </w:r>
      <w:r w:rsidRPr="00211901">
        <w:rPr>
          <w:rFonts w:ascii="Times New Roman" w:hAnsi="Times New Roman"/>
          <w:lang w:eastAsia="pt-BR"/>
        </w:rPr>
        <w:t xml:space="preserve">Isso também pode ser observado quando analisado as taxas de mortalidade em cada uma das quatro zonas (Figura </w:t>
      </w:r>
      <w:r>
        <w:rPr>
          <w:rFonts w:ascii="Times New Roman" w:hAnsi="Times New Roman"/>
          <w:lang w:eastAsia="pt-BR"/>
        </w:rPr>
        <w:t>5</w:t>
      </w:r>
      <w:r w:rsidRPr="00211901">
        <w:rPr>
          <w:rFonts w:ascii="Times New Roman" w:hAnsi="Times New Roman"/>
          <w:lang w:eastAsia="pt-BR"/>
        </w:rPr>
        <w:t>), confirmando as probabilidades de maiores ocorrências de ovos definidos por Gigliotti et al., (2010) do Sul para o Norte, sendo pouc</w:t>
      </w:r>
      <w:r>
        <w:rPr>
          <w:rFonts w:ascii="Times New Roman" w:hAnsi="Times New Roman"/>
          <w:lang w:eastAsia="pt-BR"/>
        </w:rPr>
        <w:t>o</w:t>
      </w:r>
      <w:r w:rsidRPr="00211901">
        <w:rPr>
          <w:rFonts w:ascii="Times New Roman" w:hAnsi="Times New Roman"/>
          <w:lang w:eastAsia="pt-BR"/>
        </w:rPr>
        <w:t xml:space="preserve">s </w:t>
      </w:r>
      <w:r>
        <w:rPr>
          <w:rFonts w:ascii="Times New Roman" w:hAnsi="Times New Roman"/>
          <w:lang w:eastAsia="pt-BR"/>
        </w:rPr>
        <w:t>indivíduos</w:t>
      </w:r>
      <w:r w:rsidRPr="00211901">
        <w:rPr>
          <w:rFonts w:ascii="Times New Roman" w:hAnsi="Times New Roman"/>
          <w:lang w:eastAsia="pt-BR"/>
        </w:rPr>
        <w:t xml:space="preserve"> advectad</w:t>
      </w:r>
      <w:r>
        <w:rPr>
          <w:rFonts w:ascii="Times New Roman" w:hAnsi="Times New Roman"/>
          <w:lang w:eastAsia="pt-BR"/>
        </w:rPr>
        <w:t>o</w:t>
      </w:r>
      <w:r w:rsidRPr="00211901">
        <w:rPr>
          <w:rFonts w:ascii="Times New Roman" w:hAnsi="Times New Roman"/>
          <w:lang w:eastAsia="pt-BR"/>
        </w:rPr>
        <w:t xml:space="preserve">s para </w:t>
      </w:r>
      <w:r>
        <w:rPr>
          <w:rFonts w:ascii="Times New Roman" w:hAnsi="Times New Roman"/>
          <w:lang w:eastAsia="pt-BR"/>
        </w:rPr>
        <w:t>regiões de maior profundidade</w:t>
      </w:r>
      <w:r w:rsidRPr="00211901">
        <w:rPr>
          <w:rFonts w:ascii="Times New Roman" w:hAnsi="Times New Roman"/>
          <w:lang w:eastAsia="pt-BR"/>
        </w:rPr>
        <w:t>.</w:t>
      </w:r>
    </w:p>
    <w:p w:rsidR="00A774C8" w:rsidRPr="00211901" w:rsidRDefault="00A774C8" w:rsidP="00A774C8">
      <w:pPr>
        <w:pStyle w:val="Normal1"/>
        <w:tabs>
          <w:tab w:val="left" w:pos="7500"/>
        </w:tabs>
        <w:spacing w:after="0" w:line="360" w:lineRule="auto"/>
        <w:jc w:val="center"/>
        <w:rPr>
          <w:rFonts w:ascii="Times New Roman" w:hAnsi="Times New Roman"/>
        </w:rPr>
      </w:pPr>
      <w:r w:rsidRPr="00211901">
        <w:rPr>
          <w:rFonts w:ascii="Times New Roman" w:hAnsi="Times New Roman"/>
          <w:noProof/>
          <w:lang w:eastAsia="pt-BR"/>
        </w:rPr>
        <w:drawing>
          <wp:inline distT="0" distB="0" distL="0" distR="0" wp14:anchorId="59F5539F" wp14:editId="3395F3D9">
            <wp:extent cx="3235569" cy="2426386"/>
            <wp:effectExtent l="0" t="0" r="3175" b="0"/>
            <wp:docPr id="3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pic:cNvPicPr>
                      <a:picLocks noChangeAspect="1" noChangeArrowheads="1"/>
                    </pic:cNvPicPr>
                  </pic:nvPicPr>
                  <pic:blipFill>
                    <a:blip r:embed="rId9"/>
                    <a:srcRect t="6582" r="2510"/>
                    <a:stretch>
                      <a:fillRect/>
                    </a:stretch>
                  </pic:blipFill>
                  <pic:spPr bwMode="auto">
                    <a:xfrm>
                      <a:off x="0" y="0"/>
                      <a:ext cx="3264013" cy="2447717"/>
                    </a:xfrm>
                    <a:prstGeom prst="rect">
                      <a:avLst/>
                    </a:prstGeom>
                    <a:noFill/>
                    <a:ln w="9525">
                      <a:noFill/>
                      <a:miter lim="800000"/>
                      <a:headEnd/>
                      <a:tailEnd/>
                    </a:ln>
                  </pic:spPr>
                </pic:pic>
              </a:graphicData>
            </a:graphic>
          </wp:inline>
        </w:drawing>
      </w:r>
    </w:p>
    <w:p w:rsidR="00A774C8" w:rsidRDefault="00A774C8" w:rsidP="00A774C8">
      <w:pPr>
        <w:pStyle w:val="Normal1"/>
        <w:tabs>
          <w:tab w:val="left" w:pos="7500"/>
        </w:tabs>
        <w:spacing w:after="0" w:line="240" w:lineRule="auto"/>
        <w:jc w:val="both"/>
        <w:rPr>
          <w:rFonts w:ascii="Times New Roman" w:hAnsi="Times New Roman"/>
          <w:sz w:val="22"/>
          <w:szCs w:val="22"/>
        </w:rPr>
      </w:pPr>
      <w:r w:rsidRPr="006830D8">
        <w:rPr>
          <w:rFonts w:ascii="Times New Roman" w:hAnsi="Times New Roman"/>
          <w:sz w:val="22"/>
          <w:szCs w:val="22"/>
        </w:rPr>
        <w:t xml:space="preserve">Figura </w:t>
      </w:r>
      <w:r>
        <w:rPr>
          <w:rFonts w:ascii="Times New Roman" w:hAnsi="Times New Roman"/>
          <w:sz w:val="22"/>
          <w:szCs w:val="22"/>
        </w:rPr>
        <w:t>5</w:t>
      </w:r>
      <w:r w:rsidRPr="006830D8">
        <w:rPr>
          <w:rFonts w:ascii="Times New Roman" w:hAnsi="Times New Roman"/>
          <w:sz w:val="22"/>
          <w:szCs w:val="22"/>
        </w:rPr>
        <w:t>- Teste de KW para analisar a mortalidade por temperatura e por advecção nas quatro zonas.</w:t>
      </w:r>
    </w:p>
    <w:p w:rsidR="00E24DAC" w:rsidRDefault="00E24DAC" w:rsidP="00E24DAC">
      <w:pPr>
        <w:pStyle w:val="Normal1"/>
        <w:numPr>
          <w:ilvl w:val="1"/>
          <w:numId w:val="3"/>
        </w:numPr>
        <w:tabs>
          <w:tab w:val="left" w:pos="7500"/>
        </w:tabs>
        <w:spacing w:after="0" w:line="240" w:lineRule="auto"/>
        <w:jc w:val="both"/>
        <w:rPr>
          <w:rFonts w:ascii="Times New Roman" w:hAnsi="Times New Roman"/>
          <w:b/>
        </w:rPr>
      </w:pPr>
      <w:r w:rsidRPr="00E24DAC">
        <w:rPr>
          <w:rFonts w:ascii="Times New Roman" w:hAnsi="Times New Roman"/>
          <w:b/>
        </w:rPr>
        <w:lastRenderedPageBreak/>
        <w:t>Análise Espacial</w:t>
      </w:r>
    </w:p>
    <w:p w:rsidR="002F300D" w:rsidRDefault="002F300D" w:rsidP="002F300D">
      <w:pPr>
        <w:pStyle w:val="Normal1"/>
        <w:tabs>
          <w:tab w:val="left" w:pos="7500"/>
        </w:tabs>
        <w:spacing w:after="0" w:line="240" w:lineRule="auto"/>
        <w:jc w:val="both"/>
        <w:rPr>
          <w:rFonts w:ascii="Times New Roman" w:hAnsi="Times New Roman"/>
          <w:b/>
        </w:rPr>
      </w:pPr>
    </w:p>
    <w:p w:rsidR="009D1BF3" w:rsidRDefault="002F300D" w:rsidP="0092587A">
      <w:pPr>
        <w:pStyle w:val="Normal1"/>
        <w:tabs>
          <w:tab w:val="left" w:pos="7500"/>
        </w:tabs>
        <w:spacing w:after="0" w:line="360" w:lineRule="auto"/>
        <w:ind w:firstLine="426"/>
        <w:jc w:val="both"/>
        <w:rPr>
          <w:rFonts w:ascii="Times New Roman" w:hAnsi="Times New Roman"/>
        </w:rPr>
      </w:pPr>
      <w:r>
        <w:rPr>
          <w:rFonts w:ascii="Times New Roman" w:hAnsi="Times New Roman"/>
        </w:rPr>
        <w:t xml:space="preserve">Analisando os gráficos de </w:t>
      </w:r>
      <w:r w:rsidR="007456F1">
        <w:rPr>
          <w:rFonts w:ascii="Times New Roman" w:hAnsi="Times New Roman"/>
        </w:rPr>
        <w:t xml:space="preserve">probabilidade de distribuição acumulada com seus respectivos resíduos (Figura 6) para cada uma das 4 zonas estudadas. Percebe-se que os fenômenos expressos através de ocorrências pontuais, no caso de interesse, totais de mortalidades em cada zona, </w:t>
      </w:r>
      <w:r w:rsidR="009D1BF3">
        <w:rPr>
          <w:rFonts w:ascii="Times New Roman" w:hAnsi="Times New Roman"/>
        </w:rPr>
        <w:t>não estão associados a valores e sim que existe uma evidência de interação entre esses eventos. Há um dependência espacial maior entre os grupos, devido a maior distância que ocorre entre eles.</w:t>
      </w:r>
    </w:p>
    <w:p w:rsidR="00F14E16" w:rsidRDefault="009D1BF3" w:rsidP="0092587A">
      <w:pPr>
        <w:pStyle w:val="Normal1"/>
        <w:tabs>
          <w:tab w:val="left" w:pos="7500"/>
        </w:tabs>
        <w:spacing w:after="0" w:line="360" w:lineRule="auto"/>
        <w:ind w:firstLine="426"/>
        <w:jc w:val="both"/>
        <w:rPr>
          <w:rFonts w:ascii="Times New Roman" w:hAnsi="Times New Roman"/>
        </w:rPr>
      </w:pPr>
      <w:r>
        <w:rPr>
          <w:rFonts w:ascii="Times New Roman" w:hAnsi="Times New Roman"/>
        </w:rPr>
        <w:t>Tratando de dados não paramétricos a densidade de probabilidade foi definida por Kernel a partir de inferências sobre a população como base nos dados observados.</w:t>
      </w:r>
      <w:r w:rsidR="0092587A">
        <w:rPr>
          <w:rFonts w:ascii="Times New Roman" w:hAnsi="Times New Roman"/>
        </w:rPr>
        <w:t xml:space="preserve"> A regularidade das amostras podem ser visualizadas nos respectivos resíduos de cada zona. </w:t>
      </w:r>
    </w:p>
    <w:p w:rsidR="009D1BF3" w:rsidRDefault="0092587A" w:rsidP="0092587A">
      <w:pPr>
        <w:pStyle w:val="Normal1"/>
        <w:tabs>
          <w:tab w:val="left" w:pos="7500"/>
        </w:tabs>
        <w:spacing w:after="0" w:line="360" w:lineRule="auto"/>
        <w:ind w:firstLine="426"/>
        <w:jc w:val="both"/>
        <w:rPr>
          <w:rFonts w:ascii="Times New Roman" w:hAnsi="Times New Roman"/>
        </w:rPr>
      </w:pPr>
      <w:r>
        <w:rPr>
          <w:rFonts w:ascii="Times New Roman" w:hAnsi="Times New Roman"/>
        </w:rPr>
        <w:t xml:space="preserve"> </w:t>
      </w:r>
    </w:p>
    <w:p w:rsidR="009D1BF3" w:rsidRDefault="009D1BF3" w:rsidP="009D1BF3">
      <w:pPr>
        <w:pStyle w:val="Normal1"/>
        <w:tabs>
          <w:tab w:val="left" w:pos="7500"/>
        </w:tabs>
        <w:spacing w:after="0" w:line="240" w:lineRule="auto"/>
        <w:ind w:firstLine="426"/>
        <w:jc w:val="both"/>
        <w:rPr>
          <w:rFonts w:ascii="Times New Roman" w:hAnsi="Times New Roman"/>
        </w:rPr>
      </w:pPr>
    </w:p>
    <w:p w:rsidR="002F300D" w:rsidRPr="002F300D" w:rsidRDefault="002F300D" w:rsidP="009D1BF3">
      <w:pPr>
        <w:pStyle w:val="Normal1"/>
        <w:tabs>
          <w:tab w:val="left" w:pos="7500"/>
        </w:tabs>
        <w:spacing w:after="0" w:line="240" w:lineRule="auto"/>
        <w:ind w:firstLine="426"/>
        <w:jc w:val="both"/>
        <w:rPr>
          <w:rFonts w:ascii="Times New Roman" w:hAnsi="Times New Roman"/>
        </w:rPr>
      </w:pPr>
    </w:p>
    <w:p w:rsidR="002F300D" w:rsidRDefault="007456F1" w:rsidP="002F300D">
      <w:pPr>
        <w:pStyle w:val="Normal1"/>
        <w:tabs>
          <w:tab w:val="left" w:pos="7500"/>
        </w:tabs>
        <w:spacing w:after="0" w:line="240" w:lineRule="auto"/>
        <w:jc w:val="both"/>
        <w:rPr>
          <w:rFonts w:ascii="Times New Roman" w:hAnsi="Times New Roman"/>
          <w:b/>
        </w:rPr>
      </w:pPr>
      <w:r>
        <w:rPr>
          <w:rFonts w:ascii="Times New Roman" w:hAnsi="Times New Roman"/>
          <w:b/>
          <w:noProof/>
          <w:lang w:eastAsia="pt-BR"/>
        </w:rPr>
        <w:lastRenderedPageBreak/>
        <w:drawing>
          <wp:inline distT="0" distB="0" distL="0" distR="0">
            <wp:extent cx="5400040" cy="71113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rtes-zonas-cdf-residuo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7111365"/>
                    </a:xfrm>
                    <a:prstGeom prst="rect">
                      <a:avLst/>
                    </a:prstGeom>
                  </pic:spPr>
                </pic:pic>
              </a:graphicData>
            </a:graphic>
          </wp:inline>
        </w:drawing>
      </w:r>
    </w:p>
    <w:p w:rsidR="0092587A" w:rsidRPr="0092587A" w:rsidRDefault="0092587A" w:rsidP="002F300D">
      <w:pPr>
        <w:pStyle w:val="Normal1"/>
        <w:tabs>
          <w:tab w:val="left" w:pos="7500"/>
        </w:tabs>
        <w:spacing w:after="0" w:line="240" w:lineRule="auto"/>
        <w:jc w:val="both"/>
        <w:rPr>
          <w:rFonts w:ascii="Times New Roman" w:hAnsi="Times New Roman"/>
        </w:rPr>
      </w:pPr>
      <w:r w:rsidRPr="0092587A">
        <w:rPr>
          <w:rFonts w:ascii="Times New Roman" w:hAnsi="Times New Roman"/>
        </w:rPr>
        <w:t>Figura 6 – Análise dos pontos em cada uma das zonas (Zona 1-A; Zona 2-B; Zona 3-C; Zona 4- D) e seus respectivos resíduos</w:t>
      </w:r>
    </w:p>
    <w:p w:rsidR="00E24DAC" w:rsidRPr="0092587A" w:rsidRDefault="00E24DAC" w:rsidP="00E24DAC">
      <w:pPr>
        <w:pStyle w:val="Normal1"/>
        <w:tabs>
          <w:tab w:val="left" w:pos="7500"/>
        </w:tabs>
        <w:spacing w:after="0" w:line="240" w:lineRule="auto"/>
        <w:ind w:left="360"/>
        <w:jc w:val="both"/>
        <w:rPr>
          <w:rFonts w:ascii="Times New Roman" w:hAnsi="Times New Roman"/>
          <w:sz w:val="22"/>
          <w:szCs w:val="22"/>
        </w:rPr>
      </w:pPr>
    </w:p>
    <w:p w:rsidR="0092587A" w:rsidRDefault="009409F5" w:rsidP="00450D85">
      <w:pPr>
        <w:pStyle w:val="Normal1"/>
        <w:tabs>
          <w:tab w:val="left" w:pos="7500"/>
        </w:tabs>
        <w:spacing w:after="0" w:line="360" w:lineRule="auto"/>
        <w:ind w:firstLine="426"/>
        <w:jc w:val="both"/>
        <w:rPr>
          <w:rFonts w:ascii="Times New Roman" w:hAnsi="Times New Roman"/>
        </w:rPr>
      </w:pPr>
      <w:r w:rsidRPr="00450D85">
        <w:rPr>
          <w:rFonts w:ascii="Times New Roman" w:hAnsi="Times New Roman"/>
        </w:rPr>
        <w:t xml:space="preserve">A </w:t>
      </w:r>
      <w:r w:rsidR="0092587A">
        <w:rPr>
          <w:rFonts w:ascii="Times New Roman" w:hAnsi="Times New Roman"/>
        </w:rPr>
        <w:t xml:space="preserve">análise das áreas, zonas de desovas, foram </w:t>
      </w:r>
      <w:r w:rsidRPr="00450D85">
        <w:rPr>
          <w:rFonts w:ascii="Times New Roman" w:hAnsi="Times New Roman"/>
        </w:rPr>
        <w:t>interpreta</w:t>
      </w:r>
      <w:r w:rsidR="0092587A">
        <w:rPr>
          <w:rFonts w:ascii="Times New Roman" w:hAnsi="Times New Roman"/>
        </w:rPr>
        <w:t>das</w:t>
      </w:r>
      <w:r w:rsidRPr="00450D85">
        <w:rPr>
          <w:rFonts w:ascii="Times New Roman" w:hAnsi="Times New Roman"/>
        </w:rPr>
        <w:t xml:space="preserve"> </w:t>
      </w:r>
      <w:r w:rsidR="0092587A">
        <w:rPr>
          <w:rFonts w:ascii="Times New Roman" w:hAnsi="Times New Roman"/>
        </w:rPr>
        <w:t xml:space="preserve">com o valor do índice de Moran, que é </w:t>
      </w:r>
      <w:r w:rsidRPr="00450D85">
        <w:rPr>
          <w:rFonts w:ascii="Times New Roman" w:hAnsi="Times New Roman"/>
        </w:rPr>
        <w:t>semelhante à interpretação dada ao valor de correlação entre duas variáveis aleatória</w:t>
      </w:r>
      <w:r w:rsidR="00F14E16">
        <w:rPr>
          <w:rFonts w:ascii="Times New Roman" w:hAnsi="Times New Roman"/>
        </w:rPr>
        <w:t>s</w:t>
      </w:r>
      <w:r w:rsidR="0092587A">
        <w:rPr>
          <w:rFonts w:ascii="Times New Roman" w:hAnsi="Times New Roman"/>
        </w:rPr>
        <w:t xml:space="preserve"> (Figura 7)</w:t>
      </w:r>
      <w:r w:rsidRPr="00450D85">
        <w:rPr>
          <w:rFonts w:ascii="Times New Roman" w:hAnsi="Times New Roman"/>
        </w:rPr>
        <w:t xml:space="preserve">. </w:t>
      </w:r>
    </w:p>
    <w:p w:rsidR="0092587A" w:rsidRDefault="0092587A" w:rsidP="00450D85">
      <w:pPr>
        <w:pStyle w:val="Normal1"/>
        <w:tabs>
          <w:tab w:val="left" w:pos="7500"/>
        </w:tabs>
        <w:spacing w:after="0" w:line="360" w:lineRule="auto"/>
        <w:ind w:firstLine="426"/>
        <w:jc w:val="both"/>
        <w:rPr>
          <w:rFonts w:ascii="Times New Roman" w:hAnsi="Times New Roman"/>
        </w:rPr>
      </w:pPr>
    </w:p>
    <w:p w:rsidR="0092587A" w:rsidRDefault="0092587A" w:rsidP="00450D85">
      <w:pPr>
        <w:pStyle w:val="Normal1"/>
        <w:tabs>
          <w:tab w:val="left" w:pos="7500"/>
        </w:tabs>
        <w:spacing w:after="0" w:line="360" w:lineRule="auto"/>
        <w:ind w:firstLine="426"/>
        <w:jc w:val="both"/>
        <w:rPr>
          <w:rFonts w:ascii="Times New Roman" w:hAnsi="Times New Roman"/>
        </w:rPr>
      </w:pPr>
    </w:p>
    <w:p w:rsidR="0092587A" w:rsidRDefault="00F14E16" w:rsidP="004F23EF">
      <w:pPr>
        <w:pStyle w:val="Normal1"/>
        <w:tabs>
          <w:tab w:val="left" w:pos="7500"/>
        </w:tabs>
        <w:spacing w:after="0" w:line="360" w:lineRule="auto"/>
        <w:rPr>
          <w:rFonts w:ascii="Times New Roman" w:hAnsi="Times New Roman"/>
        </w:rPr>
      </w:pPr>
      <w:r>
        <w:rPr>
          <w:rFonts w:ascii="Times New Roman" w:hAnsi="Times New Roman"/>
          <w:noProof/>
          <w:lang w:eastAsia="pt-BR"/>
        </w:rPr>
        <w:lastRenderedPageBreak/>
        <w:drawing>
          <wp:inline distT="0" distB="0" distL="0" distR="0">
            <wp:extent cx="5400040" cy="4997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oran-total-morte-zona.png"/>
                    <pic:cNvPicPr/>
                  </pic:nvPicPr>
                  <pic:blipFill>
                    <a:blip r:embed="rId11">
                      <a:extLst>
                        <a:ext uri="{28A0092B-C50C-407E-A947-70E740481C1C}">
                          <a14:useLocalDpi xmlns:a14="http://schemas.microsoft.com/office/drawing/2010/main" val="0"/>
                        </a:ext>
                      </a:extLst>
                    </a:blip>
                    <a:stretch>
                      <a:fillRect/>
                    </a:stretch>
                  </pic:blipFill>
                  <pic:spPr>
                    <a:xfrm>
                      <a:off x="0" y="0"/>
                      <a:ext cx="5400040" cy="4997450"/>
                    </a:xfrm>
                    <a:prstGeom prst="rect">
                      <a:avLst/>
                    </a:prstGeom>
                  </pic:spPr>
                </pic:pic>
              </a:graphicData>
            </a:graphic>
          </wp:inline>
        </w:drawing>
      </w:r>
    </w:p>
    <w:p w:rsidR="00F14E16" w:rsidRDefault="00F14E16" w:rsidP="004F23EF">
      <w:pPr>
        <w:pStyle w:val="Normal1"/>
        <w:tabs>
          <w:tab w:val="left" w:pos="7500"/>
        </w:tabs>
        <w:spacing w:after="0" w:line="360" w:lineRule="auto"/>
        <w:jc w:val="both"/>
        <w:rPr>
          <w:rFonts w:ascii="Times New Roman" w:hAnsi="Times New Roman"/>
        </w:rPr>
      </w:pPr>
      <w:r>
        <w:rPr>
          <w:rFonts w:ascii="Times New Roman" w:hAnsi="Times New Roman"/>
        </w:rPr>
        <w:t>Figura 7 – Diagrama de espalhamento de Moran para cada uma das 4 zonas estudadas (Zona 1- A; Zona 2-B; Zona 3-C; Zona 4-D).</w:t>
      </w:r>
    </w:p>
    <w:p w:rsidR="00F14E16" w:rsidRDefault="00F14E16" w:rsidP="00450D85">
      <w:pPr>
        <w:pStyle w:val="Normal1"/>
        <w:tabs>
          <w:tab w:val="left" w:pos="7500"/>
        </w:tabs>
        <w:spacing w:after="0" w:line="360" w:lineRule="auto"/>
        <w:ind w:firstLine="426"/>
        <w:jc w:val="both"/>
        <w:rPr>
          <w:rFonts w:ascii="Times New Roman" w:hAnsi="Times New Roman"/>
        </w:rPr>
      </w:pPr>
    </w:p>
    <w:p w:rsidR="004F23EF" w:rsidRDefault="00F14E16" w:rsidP="004F23EF">
      <w:pPr>
        <w:pStyle w:val="Normal1"/>
        <w:tabs>
          <w:tab w:val="left" w:pos="7500"/>
        </w:tabs>
        <w:spacing w:after="0" w:line="360" w:lineRule="auto"/>
        <w:ind w:firstLine="426"/>
        <w:jc w:val="both"/>
        <w:rPr>
          <w:rFonts w:ascii="Times New Roman" w:hAnsi="Times New Roman"/>
        </w:rPr>
      </w:pPr>
      <w:r>
        <w:rPr>
          <w:rFonts w:ascii="Times New Roman" w:hAnsi="Times New Roman"/>
        </w:rPr>
        <w:t>A Figura</w:t>
      </w:r>
      <w:r w:rsidR="004F23EF">
        <w:rPr>
          <w:rFonts w:ascii="Times New Roman" w:hAnsi="Times New Roman"/>
        </w:rPr>
        <w:t xml:space="preserve"> 7 nos mostra que que os indíces de moran (acima nas nos diagramas de espalhamento) possuem valores próximos a zero, o que correspondem a autocorrelação espacial não significativa, </w:t>
      </w:r>
      <w:r w:rsidR="004F23EF" w:rsidRPr="00450D85">
        <w:rPr>
          <w:rFonts w:ascii="Times New Roman" w:hAnsi="Times New Roman"/>
        </w:rPr>
        <w:t>entre o valor do atributo do objeto e o valor méd</w:t>
      </w:r>
      <w:r w:rsidR="004F23EF">
        <w:rPr>
          <w:rFonts w:ascii="Times New Roman" w:hAnsi="Times New Roman"/>
        </w:rPr>
        <w:t>io do atributo de seus vizinhos. Isso pode ser melhor observado nos gráficos de espalhamento de Moran</w:t>
      </w:r>
      <w:r w:rsidR="00867E11">
        <w:rPr>
          <w:rFonts w:ascii="Times New Roman" w:hAnsi="Times New Roman"/>
        </w:rPr>
        <w:t>,</w:t>
      </w:r>
      <w:r w:rsidR="00867E11" w:rsidRPr="00867E11">
        <w:rPr>
          <w:rFonts w:ascii="Times New Roman" w:hAnsi="Times New Roman"/>
        </w:rPr>
        <w:t xml:space="preserve"> </w:t>
      </w:r>
      <w:r w:rsidR="00867E11" w:rsidRPr="00450D85">
        <w:rPr>
          <w:rFonts w:ascii="Times New Roman" w:hAnsi="Times New Roman"/>
        </w:rPr>
        <w:t>construído com base nos valores normalizados (valores de atributos subtraídos de sua média e divididos pelo desvio padrão)</w:t>
      </w:r>
      <w:r w:rsidR="00867E11">
        <w:rPr>
          <w:rFonts w:ascii="Times New Roman" w:hAnsi="Times New Roman"/>
        </w:rPr>
        <w:t xml:space="preserve">, </w:t>
      </w:r>
      <w:r w:rsidR="004F23EF">
        <w:rPr>
          <w:rFonts w:ascii="Times New Roman" w:hAnsi="Times New Roman"/>
        </w:rPr>
        <w:t xml:space="preserve"> que</w:t>
      </w:r>
      <w:r w:rsidR="009409F5" w:rsidRPr="00450D85">
        <w:rPr>
          <w:rFonts w:ascii="Times New Roman" w:hAnsi="Times New Roman"/>
        </w:rPr>
        <w:t xml:space="preserve"> representa</w:t>
      </w:r>
      <w:r w:rsidR="004F23EF">
        <w:rPr>
          <w:rFonts w:ascii="Times New Roman" w:hAnsi="Times New Roman"/>
        </w:rPr>
        <w:t>m</w:t>
      </w:r>
      <w:r w:rsidR="009409F5" w:rsidRPr="00450D85">
        <w:rPr>
          <w:rFonts w:ascii="Times New Roman" w:hAnsi="Times New Roman"/>
        </w:rPr>
        <w:t xml:space="preserve"> uma maneira alternativa de visualização da dependência espacial existente no conjunto de dados. </w:t>
      </w:r>
    </w:p>
    <w:p w:rsidR="009409F5" w:rsidRPr="00450D85" w:rsidRDefault="009409F5" w:rsidP="004F23EF">
      <w:pPr>
        <w:pStyle w:val="Normal1"/>
        <w:tabs>
          <w:tab w:val="left" w:pos="7500"/>
        </w:tabs>
        <w:spacing w:after="0" w:line="360" w:lineRule="auto"/>
        <w:ind w:firstLine="426"/>
        <w:jc w:val="both"/>
        <w:rPr>
          <w:rFonts w:ascii="Times New Roman" w:hAnsi="Times New Roman"/>
        </w:rPr>
      </w:pPr>
      <w:r w:rsidRPr="00450D85">
        <w:rPr>
          <w:rFonts w:ascii="Times New Roman" w:hAnsi="Times New Roman"/>
        </w:rPr>
        <w:t>A partir desse</w:t>
      </w:r>
      <w:r w:rsidR="004F23EF">
        <w:rPr>
          <w:rFonts w:ascii="Times New Roman" w:hAnsi="Times New Roman"/>
        </w:rPr>
        <w:t>s</w:t>
      </w:r>
      <w:r w:rsidRPr="00450D85">
        <w:rPr>
          <w:rFonts w:ascii="Times New Roman" w:hAnsi="Times New Roman"/>
        </w:rPr>
        <w:t xml:space="preserve"> diagrama</w:t>
      </w:r>
      <w:r w:rsidR="004F23EF">
        <w:rPr>
          <w:rFonts w:ascii="Times New Roman" w:hAnsi="Times New Roman"/>
        </w:rPr>
        <w:t>s</w:t>
      </w:r>
      <w:r w:rsidRPr="00450D85">
        <w:rPr>
          <w:rFonts w:ascii="Times New Roman" w:hAnsi="Times New Roman"/>
        </w:rPr>
        <w:t xml:space="preserve"> pode-se visualizar e interpreta</w:t>
      </w:r>
      <w:r w:rsidR="004F23EF">
        <w:rPr>
          <w:rFonts w:ascii="Times New Roman" w:hAnsi="Times New Roman"/>
        </w:rPr>
        <w:t>r</w:t>
      </w:r>
      <w:r w:rsidRPr="00450D85">
        <w:rPr>
          <w:rFonts w:ascii="Times New Roman" w:hAnsi="Times New Roman"/>
        </w:rPr>
        <w:t xml:space="preserve"> a associação linear entre cada valor de atributo z</w:t>
      </w:r>
      <w:r w:rsidRPr="004F23EF">
        <w:rPr>
          <w:rFonts w:ascii="Times New Roman" w:hAnsi="Times New Roman"/>
          <w:vertAlign w:val="subscript"/>
        </w:rPr>
        <w:t>i</w:t>
      </w:r>
      <w:r w:rsidRPr="00450D85">
        <w:rPr>
          <w:rFonts w:ascii="Times New Roman" w:hAnsi="Times New Roman"/>
        </w:rPr>
        <w:t xml:space="preserve"> em relação à média dos valores dos atributos de seus vizinhos z</w:t>
      </w:r>
      <w:r w:rsidRPr="004F23EF">
        <w:rPr>
          <w:rFonts w:ascii="Times New Roman" w:hAnsi="Times New Roman"/>
          <w:vertAlign w:val="subscript"/>
        </w:rPr>
        <w:t>m</w:t>
      </w:r>
      <w:r w:rsidRPr="00450D85">
        <w:rPr>
          <w:rFonts w:ascii="Times New Roman" w:hAnsi="Times New Roman"/>
        </w:rPr>
        <w:t>, uma vez que Anselin (1993) entende ser o indicador de Moran um coeficiente de regressão linear entre z</w:t>
      </w:r>
      <w:r w:rsidRPr="004F23EF">
        <w:rPr>
          <w:rFonts w:ascii="Times New Roman" w:hAnsi="Times New Roman"/>
          <w:vertAlign w:val="subscript"/>
        </w:rPr>
        <w:t>m</w:t>
      </w:r>
      <w:r w:rsidRPr="00450D85">
        <w:rPr>
          <w:rFonts w:ascii="Times New Roman" w:hAnsi="Times New Roman"/>
        </w:rPr>
        <w:t xml:space="preserve"> e z</w:t>
      </w:r>
      <w:r w:rsidRPr="004F23EF">
        <w:rPr>
          <w:rFonts w:ascii="Times New Roman" w:hAnsi="Times New Roman"/>
          <w:vertAlign w:val="subscript"/>
        </w:rPr>
        <w:t>i</w:t>
      </w:r>
      <w:r w:rsidRPr="00450D85">
        <w:rPr>
          <w:rFonts w:ascii="Times New Roman" w:hAnsi="Times New Roman"/>
        </w:rPr>
        <w:t xml:space="preserve"> .</w:t>
      </w:r>
    </w:p>
    <w:p w:rsidR="004F23EF" w:rsidRDefault="009409F5" w:rsidP="00450D85">
      <w:pPr>
        <w:pStyle w:val="Normal1"/>
        <w:tabs>
          <w:tab w:val="left" w:pos="7500"/>
        </w:tabs>
        <w:spacing w:after="0" w:line="360" w:lineRule="auto"/>
        <w:ind w:firstLine="426"/>
        <w:jc w:val="both"/>
        <w:rPr>
          <w:rFonts w:ascii="Times New Roman" w:hAnsi="Times New Roman"/>
        </w:rPr>
      </w:pPr>
      <w:r w:rsidRPr="00450D85">
        <w:rPr>
          <w:rFonts w:ascii="Times New Roman" w:hAnsi="Times New Roman"/>
        </w:rPr>
        <w:lastRenderedPageBreak/>
        <w:t>A origem do gráfico de espalhamento está centrada na coordenada (0,0), pois as variações são consideradas em relação à média. Nesse contexto, o gráfico é dividido em quatro quadrantes, de maneira que cada quadrante representa um tipo diferente de associação entre o valor de uma dada área (z</w:t>
      </w:r>
      <w:r w:rsidRPr="004F23EF">
        <w:rPr>
          <w:rFonts w:ascii="Times New Roman" w:hAnsi="Times New Roman"/>
          <w:vertAlign w:val="subscript"/>
        </w:rPr>
        <w:t>i</w:t>
      </w:r>
      <w:r w:rsidRPr="00450D85">
        <w:rPr>
          <w:rFonts w:ascii="Times New Roman" w:hAnsi="Times New Roman"/>
        </w:rPr>
        <w:t>) e a média de seus vizinhos (z</w:t>
      </w:r>
      <w:r w:rsidRPr="004F23EF">
        <w:rPr>
          <w:rFonts w:ascii="Times New Roman" w:hAnsi="Times New Roman"/>
          <w:vertAlign w:val="subscript"/>
        </w:rPr>
        <w:t>m</w:t>
      </w:r>
      <w:r w:rsidRPr="00450D85">
        <w:rPr>
          <w:rFonts w:ascii="Times New Roman" w:hAnsi="Times New Roman"/>
        </w:rPr>
        <w:t xml:space="preserve">). </w:t>
      </w:r>
    </w:p>
    <w:p w:rsidR="009409F5" w:rsidRPr="00450D85" w:rsidRDefault="00867E11" w:rsidP="00867E11">
      <w:pPr>
        <w:pStyle w:val="Normal1"/>
        <w:tabs>
          <w:tab w:val="left" w:pos="7500"/>
        </w:tabs>
        <w:spacing w:after="0" w:line="360" w:lineRule="auto"/>
        <w:ind w:firstLine="426"/>
        <w:jc w:val="both"/>
        <w:rPr>
          <w:rFonts w:ascii="Times New Roman" w:hAnsi="Times New Roman"/>
        </w:rPr>
      </w:pPr>
      <w:r>
        <w:rPr>
          <w:rFonts w:ascii="Times New Roman" w:hAnsi="Times New Roman"/>
        </w:rPr>
        <w:t xml:space="preserve">De acordo com </w:t>
      </w:r>
      <w:r w:rsidR="009409F5" w:rsidRPr="00450D85">
        <w:rPr>
          <w:rFonts w:ascii="Times New Roman" w:hAnsi="Times New Roman"/>
        </w:rPr>
        <w:t xml:space="preserve">Anselin (1993) </w:t>
      </w:r>
      <w:r>
        <w:rPr>
          <w:rFonts w:ascii="Times New Roman" w:hAnsi="Times New Roman"/>
        </w:rPr>
        <w:t xml:space="preserve">os gráficos de espalhamento de moran nos mostram que a zona 2 (B), o quadrante inferior esquerdo, baixo-baixo, mostram que o atributo e a média dos vizinhos, estão abaixo da média. Nas zonas 1 (A), 3 (C) e 4 (D), os quadrantes superior esquerdo e inferior direito indicam associação espacial negativa.  </w:t>
      </w:r>
      <w:r w:rsidR="009409F5" w:rsidRPr="00450D85">
        <w:rPr>
          <w:rFonts w:ascii="Times New Roman" w:hAnsi="Times New Roman"/>
        </w:rPr>
        <w:t xml:space="preserve">Valores baixos estão cercados por valores altos (quadrante superior esquerdo: </w:t>
      </w:r>
      <w:r>
        <w:rPr>
          <w:rFonts w:ascii="Times New Roman" w:hAnsi="Times New Roman"/>
        </w:rPr>
        <w:t>b</w:t>
      </w:r>
      <w:r w:rsidR="009409F5" w:rsidRPr="00450D85">
        <w:rPr>
          <w:rFonts w:ascii="Times New Roman" w:hAnsi="Times New Roman"/>
        </w:rPr>
        <w:t>aixo-</w:t>
      </w:r>
      <w:r>
        <w:rPr>
          <w:rFonts w:ascii="Times New Roman" w:hAnsi="Times New Roman"/>
        </w:rPr>
        <w:t>a</w:t>
      </w:r>
      <w:r w:rsidR="009409F5" w:rsidRPr="00450D85">
        <w:rPr>
          <w:rFonts w:ascii="Times New Roman" w:hAnsi="Times New Roman"/>
        </w:rPr>
        <w:t xml:space="preserve">lto, representando valor negativo e média dos vizinhos positiva) e valores altos são rodeados por valores baixos (quadrante inferior direito: </w:t>
      </w:r>
      <w:r>
        <w:rPr>
          <w:rFonts w:ascii="Times New Roman" w:hAnsi="Times New Roman"/>
        </w:rPr>
        <w:t>a</w:t>
      </w:r>
      <w:r w:rsidR="009409F5" w:rsidRPr="00450D85">
        <w:rPr>
          <w:rFonts w:ascii="Times New Roman" w:hAnsi="Times New Roman"/>
        </w:rPr>
        <w:t xml:space="preserve">lto- </w:t>
      </w:r>
      <w:r>
        <w:rPr>
          <w:rFonts w:ascii="Times New Roman" w:hAnsi="Times New Roman"/>
        </w:rPr>
        <w:t>b</w:t>
      </w:r>
      <w:r w:rsidR="009409F5" w:rsidRPr="00450D85">
        <w:rPr>
          <w:rFonts w:ascii="Times New Roman" w:hAnsi="Times New Roman"/>
        </w:rPr>
        <w:t>aixo, representando valor positivo e média dos vizinhos negativa).</w:t>
      </w:r>
    </w:p>
    <w:p w:rsidR="00E24DAC" w:rsidRPr="00450D85" w:rsidRDefault="00E24DAC" w:rsidP="00450D85">
      <w:pPr>
        <w:pStyle w:val="Normal1"/>
        <w:tabs>
          <w:tab w:val="left" w:pos="7500"/>
        </w:tabs>
        <w:spacing w:after="0" w:line="360" w:lineRule="auto"/>
        <w:ind w:firstLine="426"/>
        <w:jc w:val="both"/>
        <w:rPr>
          <w:rFonts w:ascii="Times New Roman" w:hAnsi="Times New Roman"/>
          <w:sz w:val="22"/>
          <w:szCs w:val="22"/>
        </w:rPr>
      </w:pPr>
      <w:r w:rsidRPr="00450D85">
        <w:rPr>
          <w:rFonts w:ascii="Times New Roman" w:hAnsi="Times New Roman"/>
        </w:rPr>
        <w:t>Os índices de Moran (</w:t>
      </w:r>
      <w:r w:rsidR="007B2F69">
        <w:rPr>
          <w:rFonts w:ascii="Times New Roman" w:hAnsi="Times New Roman"/>
        </w:rPr>
        <w:t>Figura 7</w:t>
      </w:r>
      <w:r w:rsidRPr="00450D85">
        <w:rPr>
          <w:rFonts w:ascii="Times New Roman" w:hAnsi="Times New Roman"/>
        </w:rPr>
        <w:t>) apresentaram associação espacial com valores muito baixos, próximos de zero e combinados com uma significância acima de 0,05 (p-valores), refutando a hipótese de autocorrelação espacial. Os val</w:t>
      </w:r>
      <w:r w:rsidR="007B2F69">
        <w:rPr>
          <w:rFonts w:ascii="Times New Roman" w:hAnsi="Times New Roman"/>
        </w:rPr>
        <w:t>ores inferidos evidenciam que as zonas de probabilidade</w:t>
      </w:r>
      <w:r w:rsidRPr="00450D85">
        <w:rPr>
          <w:rFonts w:ascii="Times New Roman" w:hAnsi="Times New Roman"/>
        </w:rPr>
        <w:t xml:space="preserve">, provavelmente, são poucos correlacionados no espaço com o valor médio de seus municípios vizinhos. </w:t>
      </w:r>
    </w:p>
    <w:p w:rsidR="00A774C8" w:rsidRPr="00211901" w:rsidRDefault="00A774C8" w:rsidP="00A774C8">
      <w:pPr>
        <w:pStyle w:val="Normal1"/>
        <w:tabs>
          <w:tab w:val="left" w:pos="7500"/>
        </w:tabs>
        <w:spacing w:after="0" w:line="240" w:lineRule="auto"/>
        <w:jc w:val="both"/>
        <w:rPr>
          <w:rFonts w:ascii="Times New Roman" w:hAnsi="Times New Roman"/>
          <w:lang w:eastAsia="pt-BR"/>
        </w:rPr>
      </w:pPr>
    </w:p>
    <w:p w:rsidR="00A774C8" w:rsidRDefault="00A774C8" w:rsidP="00A774C8">
      <w:pPr>
        <w:pStyle w:val="Normal1"/>
        <w:numPr>
          <w:ilvl w:val="1"/>
          <w:numId w:val="3"/>
        </w:numPr>
        <w:tabs>
          <w:tab w:val="left" w:pos="7500"/>
        </w:tabs>
        <w:spacing w:after="0" w:line="240" w:lineRule="auto"/>
        <w:jc w:val="both"/>
        <w:rPr>
          <w:rFonts w:ascii="Times New Roman" w:hAnsi="Times New Roman"/>
          <w:b/>
          <w:lang w:eastAsia="pt-BR"/>
        </w:rPr>
      </w:pPr>
      <w:r w:rsidRPr="00211901">
        <w:rPr>
          <w:rFonts w:ascii="Times New Roman" w:hAnsi="Times New Roman"/>
          <w:b/>
          <w:lang w:eastAsia="pt-BR"/>
        </w:rPr>
        <w:t>Padrão da circulação oceânica na PCSE</w:t>
      </w:r>
    </w:p>
    <w:p w:rsidR="00005426" w:rsidRPr="00211901" w:rsidRDefault="00005426" w:rsidP="00005426">
      <w:pPr>
        <w:pStyle w:val="Normal1"/>
        <w:tabs>
          <w:tab w:val="left" w:pos="7500"/>
        </w:tabs>
        <w:spacing w:after="0" w:line="240" w:lineRule="auto"/>
        <w:ind w:left="360"/>
        <w:jc w:val="both"/>
        <w:rPr>
          <w:rFonts w:ascii="Times New Roman" w:hAnsi="Times New Roman"/>
          <w:b/>
          <w:lang w:eastAsia="pt-BR"/>
        </w:rPr>
      </w:pPr>
    </w:p>
    <w:p w:rsidR="00A774C8" w:rsidRPr="00211901" w:rsidRDefault="00A774C8" w:rsidP="00005426">
      <w:pPr>
        <w:pStyle w:val="Normal1"/>
        <w:spacing w:after="0" w:line="360" w:lineRule="auto"/>
        <w:ind w:firstLine="426"/>
        <w:jc w:val="both"/>
        <w:rPr>
          <w:rFonts w:ascii="Times New Roman" w:hAnsi="Times New Roman"/>
        </w:rPr>
      </w:pPr>
      <w:r>
        <w:rPr>
          <w:rFonts w:ascii="Times New Roman" w:hAnsi="Times New Roman"/>
        </w:rPr>
        <w:t>A</w:t>
      </w:r>
      <w:r w:rsidRPr="00211901">
        <w:rPr>
          <w:rFonts w:ascii="Times New Roman" w:hAnsi="Times New Roman"/>
        </w:rPr>
        <w:t xml:space="preserve"> análise </w:t>
      </w:r>
      <w:r>
        <w:rPr>
          <w:rFonts w:ascii="Times New Roman" w:hAnsi="Times New Roman"/>
        </w:rPr>
        <w:t>d</w:t>
      </w:r>
      <w:r w:rsidRPr="00211901">
        <w:rPr>
          <w:rFonts w:ascii="Times New Roman" w:hAnsi="Times New Roman"/>
        </w:rPr>
        <w:t xml:space="preserve">os movimentos das 30 mil partículas em cada ano, para cada experimento (Figura </w:t>
      </w:r>
      <w:r w:rsidR="007B2F69">
        <w:rPr>
          <w:rFonts w:ascii="Times New Roman" w:hAnsi="Times New Roman"/>
        </w:rPr>
        <w:t>8</w:t>
      </w:r>
      <w:r w:rsidRPr="00211901">
        <w:rPr>
          <w:rFonts w:ascii="Times New Roman" w:hAnsi="Times New Roman"/>
        </w:rPr>
        <w:t>)</w:t>
      </w:r>
      <w:r>
        <w:rPr>
          <w:rFonts w:ascii="Times New Roman" w:hAnsi="Times New Roman"/>
        </w:rPr>
        <w:t>,</w:t>
      </w:r>
      <w:r w:rsidRPr="00211901">
        <w:rPr>
          <w:rFonts w:ascii="Times New Roman" w:hAnsi="Times New Roman"/>
        </w:rPr>
        <w:t xml:space="preserve"> nos mostram que </w:t>
      </w:r>
      <w:r>
        <w:rPr>
          <w:rFonts w:ascii="Times New Roman" w:hAnsi="Times New Roman"/>
        </w:rPr>
        <w:t>a desova em</w:t>
      </w:r>
      <w:r w:rsidRPr="00211901">
        <w:rPr>
          <w:rFonts w:ascii="Times New Roman" w:hAnsi="Times New Roman"/>
        </w:rPr>
        <w:t xml:space="preserve"> locais específicos da PCSE </w:t>
      </w:r>
      <w:r>
        <w:rPr>
          <w:rFonts w:ascii="Times New Roman" w:hAnsi="Times New Roman"/>
        </w:rPr>
        <w:t>tendem a melhorar</w:t>
      </w:r>
      <w:r w:rsidRPr="00211901">
        <w:rPr>
          <w:rFonts w:ascii="Times New Roman" w:hAnsi="Times New Roman"/>
        </w:rPr>
        <w:t xml:space="preserve"> significamente a sobrevivência das larvas o que pode afetar no desempenho da pesca. Os experimentos apontam que a</w:t>
      </w:r>
      <w:r>
        <w:rPr>
          <w:rFonts w:ascii="Times New Roman" w:hAnsi="Times New Roman"/>
        </w:rPr>
        <w:t xml:space="preserve"> circulação </w:t>
      </w:r>
      <w:r w:rsidRPr="00211901">
        <w:rPr>
          <w:rFonts w:ascii="Times New Roman" w:hAnsi="Times New Roman"/>
        </w:rPr>
        <w:t xml:space="preserve">oceânica </w:t>
      </w:r>
      <w:r>
        <w:rPr>
          <w:rFonts w:ascii="Times New Roman" w:hAnsi="Times New Roman"/>
        </w:rPr>
        <w:t xml:space="preserve">podem </w:t>
      </w:r>
      <w:r w:rsidRPr="00211901">
        <w:rPr>
          <w:rFonts w:ascii="Times New Roman" w:hAnsi="Times New Roman"/>
        </w:rPr>
        <w:t>favorece</w:t>
      </w:r>
      <w:r>
        <w:rPr>
          <w:rFonts w:ascii="Times New Roman" w:hAnsi="Times New Roman"/>
        </w:rPr>
        <w:t>r</w:t>
      </w:r>
      <w:r w:rsidRPr="00211901">
        <w:rPr>
          <w:rFonts w:ascii="Times New Roman" w:hAnsi="Times New Roman"/>
        </w:rPr>
        <w:t xml:space="preserve"> os extremos de desembarques comerciais da sardinha na PCSE. A </w:t>
      </w:r>
      <w:r>
        <w:rPr>
          <w:rFonts w:ascii="Times New Roman" w:hAnsi="Times New Roman"/>
        </w:rPr>
        <w:t xml:space="preserve">escolha da </w:t>
      </w:r>
      <w:r w:rsidRPr="00211901">
        <w:rPr>
          <w:rFonts w:ascii="Times New Roman" w:hAnsi="Times New Roman"/>
        </w:rPr>
        <w:t>desova pode ser explicada por processos de mesoescala coincidindo com maiores variabilidades interanuais nas taxas de mortalidade por temperatura ao Norte da PCSE, antes dos períodos de desembarques mínimos.</w:t>
      </w:r>
    </w:p>
    <w:p w:rsidR="00A774C8" w:rsidRPr="00211901" w:rsidRDefault="00E57B98" w:rsidP="00A774C8">
      <w:pPr>
        <w:pStyle w:val="Normal1"/>
        <w:spacing w:after="0" w:line="240" w:lineRule="auto"/>
        <w:ind w:firstLine="426"/>
        <w:jc w:val="center"/>
        <w:rPr>
          <w:rFonts w:ascii="Times New Roman" w:hAnsi="Times New Roman"/>
        </w:rPr>
      </w:pPr>
      <w:r>
        <w:rPr>
          <w:rFonts w:ascii="Times New Roman" w:hAnsi="Times New Roman"/>
          <w:noProof/>
          <w:lang w:eastAsia="pt-BR"/>
        </w:rPr>
        <w:lastRenderedPageBreak/>
        <w:drawing>
          <wp:inline distT="0" distB="0" distL="0" distR="0">
            <wp:extent cx="4052650" cy="78850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12">
                      <a:extLst>
                        <a:ext uri="{28A0092B-C50C-407E-A947-70E740481C1C}">
                          <a14:useLocalDpi xmlns:a14="http://schemas.microsoft.com/office/drawing/2010/main" val="0"/>
                        </a:ext>
                      </a:extLst>
                    </a:blip>
                    <a:stretch>
                      <a:fillRect/>
                    </a:stretch>
                  </pic:blipFill>
                  <pic:spPr>
                    <a:xfrm>
                      <a:off x="0" y="0"/>
                      <a:ext cx="4052650" cy="7885002"/>
                    </a:xfrm>
                    <a:prstGeom prst="rect">
                      <a:avLst/>
                    </a:prstGeom>
                  </pic:spPr>
                </pic:pic>
              </a:graphicData>
            </a:graphic>
          </wp:inline>
        </w:drawing>
      </w:r>
    </w:p>
    <w:p w:rsidR="00A774C8" w:rsidRPr="006830D8" w:rsidRDefault="00A774C8" w:rsidP="00A774C8">
      <w:pPr>
        <w:pStyle w:val="Normal1"/>
        <w:spacing w:after="0" w:line="240" w:lineRule="auto"/>
        <w:jc w:val="both"/>
        <w:rPr>
          <w:rFonts w:ascii="Times New Roman" w:hAnsi="Times New Roman"/>
          <w:sz w:val="22"/>
          <w:szCs w:val="22"/>
        </w:rPr>
      </w:pPr>
      <w:r w:rsidRPr="006830D8">
        <w:rPr>
          <w:rFonts w:ascii="Times New Roman" w:hAnsi="Times New Roman"/>
          <w:sz w:val="22"/>
          <w:szCs w:val="22"/>
        </w:rPr>
        <w:t xml:space="preserve">Figura </w:t>
      </w:r>
      <w:r w:rsidR="00322606">
        <w:rPr>
          <w:rFonts w:ascii="Times New Roman" w:hAnsi="Times New Roman"/>
          <w:sz w:val="22"/>
          <w:szCs w:val="22"/>
        </w:rPr>
        <w:t>8</w:t>
      </w:r>
      <w:r w:rsidRPr="006830D8">
        <w:rPr>
          <w:rFonts w:ascii="Times New Roman" w:hAnsi="Times New Roman"/>
          <w:sz w:val="22"/>
          <w:szCs w:val="22"/>
        </w:rPr>
        <w:t xml:space="preserve"> –  Trajetórias das 30 mil partículas para cada ano analisado na PCSE durante os 45 dias de experimento por zonas, (Vermelho – Cabo Frio; Azul – Rio de Janeiro; Verde – São Sebastião; Laranja – Cabo de Santa Marta).</w:t>
      </w:r>
    </w:p>
    <w:p w:rsidR="00A774C8" w:rsidRPr="00211901" w:rsidRDefault="00A774C8" w:rsidP="00A774C8">
      <w:pPr>
        <w:pStyle w:val="Normal1"/>
        <w:spacing w:after="0" w:line="240" w:lineRule="auto"/>
        <w:ind w:firstLine="426"/>
        <w:jc w:val="center"/>
        <w:rPr>
          <w:rFonts w:ascii="Times New Roman" w:hAnsi="Times New Roman"/>
        </w:rPr>
      </w:pPr>
    </w:p>
    <w:p w:rsidR="00A774C8" w:rsidRPr="00211901" w:rsidRDefault="00A774C8" w:rsidP="007B2F69">
      <w:pPr>
        <w:spacing w:line="360" w:lineRule="auto"/>
        <w:ind w:firstLine="426"/>
        <w:jc w:val="both"/>
        <w:rPr>
          <w:szCs w:val="24"/>
        </w:rPr>
      </w:pPr>
      <w:r w:rsidRPr="00211901">
        <w:rPr>
          <w:szCs w:val="24"/>
        </w:rPr>
        <w:lastRenderedPageBreak/>
        <w:t>O</w:t>
      </w:r>
      <w:r>
        <w:rPr>
          <w:szCs w:val="24"/>
        </w:rPr>
        <w:t>s</w:t>
      </w:r>
      <w:r w:rsidRPr="00211901">
        <w:rPr>
          <w:szCs w:val="24"/>
        </w:rPr>
        <w:t xml:space="preserve"> </w:t>
      </w:r>
      <w:r>
        <w:rPr>
          <w:szCs w:val="24"/>
        </w:rPr>
        <w:t xml:space="preserve">resultados dos </w:t>
      </w:r>
      <w:r w:rsidRPr="00211901">
        <w:rPr>
          <w:szCs w:val="24"/>
        </w:rPr>
        <w:t>e</w:t>
      </w:r>
      <w:bookmarkStart w:id="0" w:name="_GoBack"/>
      <w:bookmarkEnd w:id="0"/>
      <w:r w:rsidRPr="00211901">
        <w:rPr>
          <w:szCs w:val="24"/>
        </w:rPr>
        <w:t>xperimento</w:t>
      </w:r>
      <w:r>
        <w:rPr>
          <w:szCs w:val="24"/>
        </w:rPr>
        <w:t>s</w:t>
      </w:r>
      <w:r w:rsidRPr="00211901">
        <w:rPr>
          <w:szCs w:val="24"/>
        </w:rPr>
        <w:t xml:space="preserve"> de desova por zonas </w:t>
      </w:r>
      <w:r>
        <w:rPr>
          <w:szCs w:val="24"/>
        </w:rPr>
        <w:t xml:space="preserve">sugerem que a vantagem desta estratégia está realcionada  </w:t>
      </w:r>
      <w:r w:rsidRPr="00211901">
        <w:rPr>
          <w:szCs w:val="24"/>
        </w:rPr>
        <w:t>a</w:t>
      </w:r>
      <w:r>
        <w:rPr>
          <w:szCs w:val="24"/>
        </w:rPr>
        <w:t xml:space="preserve"> maior </w:t>
      </w:r>
      <w:r w:rsidRPr="00211901">
        <w:rPr>
          <w:szCs w:val="24"/>
        </w:rPr>
        <w:t xml:space="preserve"> retenção larval. </w:t>
      </w:r>
      <w:r>
        <w:rPr>
          <w:szCs w:val="24"/>
        </w:rPr>
        <w:t>A</w:t>
      </w:r>
      <w:r w:rsidRPr="00211901">
        <w:rPr>
          <w:szCs w:val="24"/>
        </w:rPr>
        <w:t xml:space="preserve"> probabilidade d</w:t>
      </w:r>
      <w:r>
        <w:rPr>
          <w:szCs w:val="24"/>
        </w:rPr>
        <w:t>a larva</w:t>
      </w:r>
      <w:r w:rsidRPr="00211901">
        <w:rPr>
          <w:szCs w:val="24"/>
        </w:rPr>
        <w:t xml:space="preserve"> morrer por advecção é maior quando a desova ocorre de forma aleatória ao longo da PCSE, devido </w:t>
      </w:r>
      <w:r>
        <w:rPr>
          <w:szCs w:val="24"/>
        </w:rPr>
        <w:t>à possibilidade</w:t>
      </w:r>
      <w:r w:rsidRPr="00211901">
        <w:rPr>
          <w:szCs w:val="24"/>
        </w:rPr>
        <w:t xml:space="preserve"> das larvas serem capturadas por meandros e vórtices. Sem dúvida, há vantagens para </w:t>
      </w:r>
      <w:r>
        <w:rPr>
          <w:szCs w:val="24"/>
        </w:rPr>
        <w:t>os estoques desovantes da</w:t>
      </w:r>
      <w:r w:rsidRPr="00211901">
        <w:rPr>
          <w:szCs w:val="24"/>
        </w:rPr>
        <w:t xml:space="preserve"> sardinha se deslocarem em busca de locais </w:t>
      </w:r>
      <w:r>
        <w:rPr>
          <w:szCs w:val="24"/>
        </w:rPr>
        <w:t>específicos</w:t>
      </w:r>
      <w:r w:rsidRPr="00211901">
        <w:rPr>
          <w:szCs w:val="24"/>
        </w:rPr>
        <w:t>,</w:t>
      </w:r>
      <w:r>
        <w:rPr>
          <w:szCs w:val="24"/>
        </w:rPr>
        <w:t xml:space="preserve"> os chamados hábitats de desova.</w:t>
      </w:r>
      <w:r w:rsidRPr="00211901">
        <w:rPr>
          <w:szCs w:val="24"/>
        </w:rPr>
        <w:t xml:space="preserve"> </w:t>
      </w:r>
      <w:r>
        <w:rPr>
          <w:szCs w:val="24"/>
        </w:rPr>
        <w:t>Isto é coerenter com</w:t>
      </w:r>
      <w:r w:rsidRPr="00211901">
        <w:rPr>
          <w:szCs w:val="24"/>
        </w:rPr>
        <w:t xml:space="preserve"> a estratégia de desova</w:t>
      </w:r>
      <w:r>
        <w:rPr>
          <w:szCs w:val="24"/>
        </w:rPr>
        <w:t>r</w:t>
      </w:r>
      <w:r w:rsidRPr="00211901">
        <w:rPr>
          <w:szCs w:val="24"/>
        </w:rPr>
        <w:t xml:space="preserve"> "no lugar certo e no momento certo" (Fréon et al., 2005)</w:t>
      </w:r>
      <w:r>
        <w:rPr>
          <w:szCs w:val="24"/>
        </w:rPr>
        <w:t>, como forma de</w:t>
      </w:r>
      <w:r w:rsidRPr="00211901">
        <w:rPr>
          <w:szCs w:val="24"/>
        </w:rPr>
        <w:t xml:space="preserve"> maximizar o</w:t>
      </w:r>
      <w:r>
        <w:rPr>
          <w:szCs w:val="24"/>
        </w:rPr>
        <w:t xml:space="preserve"> sucesso reprodutivo de alguns poucos s</w:t>
      </w:r>
      <w:r w:rsidRPr="00211901">
        <w:rPr>
          <w:szCs w:val="24"/>
        </w:rPr>
        <w:t>obreviventes.</w:t>
      </w:r>
      <w:r>
        <w:rPr>
          <w:szCs w:val="24"/>
        </w:rPr>
        <w:t xml:space="preserve"> </w:t>
      </w:r>
      <w:r w:rsidRPr="00211901">
        <w:rPr>
          <w:szCs w:val="24"/>
        </w:rPr>
        <w:t xml:space="preserve">Ambos experimentos </w:t>
      </w:r>
      <w:r>
        <w:rPr>
          <w:szCs w:val="24"/>
        </w:rPr>
        <w:t>mostraram</w:t>
      </w:r>
      <w:r w:rsidRPr="00211901">
        <w:rPr>
          <w:szCs w:val="24"/>
        </w:rPr>
        <w:t xml:space="preserve"> que a variabilidade interanual das traj</w:t>
      </w:r>
      <w:r>
        <w:rPr>
          <w:szCs w:val="24"/>
        </w:rPr>
        <w:t>e</w:t>
      </w:r>
      <w:r w:rsidRPr="00211901">
        <w:rPr>
          <w:szCs w:val="24"/>
        </w:rPr>
        <w:t xml:space="preserve">tórias das partículas </w:t>
      </w:r>
      <w:r>
        <w:rPr>
          <w:szCs w:val="24"/>
        </w:rPr>
        <w:t>estão relacionadas com a</w:t>
      </w:r>
      <w:r w:rsidRPr="00211901">
        <w:rPr>
          <w:szCs w:val="24"/>
        </w:rPr>
        <w:t xml:space="preserve"> circulação superficial oceânica </w:t>
      </w:r>
      <w:r>
        <w:rPr>
          <w:szCs w:val="24"/>
        </w:rPr>
        <w:t>e a</w:t>
      </w:r>
      <w:r w:rsidRPr="00211901">
        <w:rPr>
          <w:szCs w:val="24"/>
        </w:rPr>
        <w:t xml:space="preserve"> seleção do h</w:t>
      </w:r>
      <w:r>
        <w:rPr>
          <w:szCs w:val="24"/>
        </w:rPr>
        <w:t>á</w:t>
      </w:r>
      <w:r w:rsidRPr="00211901">
        <w:rPr>
          <w:szCs w:val="24"/>
        </w:rPr>
        <w:t>bitat</w:t>
      </w:r>
      <w:r>
        <w:rPr>
          <w:szCs w:val="24"/>
        </w:rPr>
        <w:t xml:space="preserve"> de desova</w:t>
      </w:r>
      <w:r w:rsidRPr="00211901">
        <w:rPr>
          <w:szCs w:val="24"/>
        </w:rPr>
        <w:t xml:space="preserve">, mas estas não são inevitavelmente refletidas nos desembarques comerciais. </w:t>
      </w:r>
    </w:p>
    <w:p w:rsidR="00A774C8" w:rsidRPr="00211901" w:rsidRDefault="00A774C8" w:rsidP="00A774C8">
      <w:pPr>
        <w:pStyle w:val="Normal1"/>
        <w:spacing w:after="0" w:line="240" w:lineRule="auto"/>
        <w:ind w:firstLine="426"/>
        <w:jc w:val="both"/>
        <w:rPr>
          <w:rFonts w:ascii="Times New Roman" w:hAnsi="Times New Roman"/>
        </w:rPr>
      </w:pPr>
    </w:p>
    <w:p w:rsidR="00A774C8" w:rsidRDefault="00A774C8" w:rsidP="00A774C8">
      <w:pPr>
        <w:pStyle w:val="Normal1"/>
        <w:numPr>
          <w:ilvl w:val="0"/>
          <w:numId w:val="2"/>
        </w:numPr>
        <w:spacing w:after="0" w:line="240" w:lineRule="auto"/>
        <w:jc w:val="both"/>
        <w:rPr>
          <w:rFonts w:ascii="Times New Roman" w:hAnsi="Times New Roman"/>
          <w:b/>
        </w:rPr>
      </w:pPr>
      <w:r w:rsidRPr="00211901">
        <w:rPr>
          <w:rFonts w:ascii="Times New Roman" w:hAnsi="Times New Roman"/>
          <w:b/>
        </w:rPr>
        <w:t>Conclusões</w:t>
      </w:r>
    </w:p>
    <w:p w:rsidR="00005426" w:rsidRPr="00211901" w:rsidRDefault="00005426" w:rsidP="00005426">
      <w:pPr>
        <w:pStyle w:val="Normal1"/>
        <w:spacing w:after="0" w:line="240" w:lineRule="auto"/>
        <w:ind w:left="360"/>
        <w:jc w:val="both"/>
        <w:rPr>
          <w:rFonts w:ascii="Times New Roman" w:hAnsi="Times New Roman"/>
          <w:b/>
        </w:rPr>
      </w:pPr>
    </w:p>
    <w:p w:rsidR="00A774C8" w:rsidRPr="00211901" w:rsidRDefault="00A774C8" w:rsidP="00005426">
      <w:pPr>
        <w:spacing w:line="360" w:lineRule="auto"/>
        <w:ind w:firstLine="426"/>
        <w:jc w:val="both"/>
        <w:rPr>
          <w:szCs w:val="24"/>
        </w:rPr>
      </w:pPr>
      <w:bookmarkStart w:id="1" w:name="__DdeLink__14365_2056603903"/>
      <w:r w:rsidRPr="00211901">
        <w:rPr>
          <w:szCs w:val="24"/>
        </w:rPr>
        <w:t>Apesar das limitações da modelagem, nossos experimentos adicionaram um elemento físico necessário à compreensão da dinâmica da</w:t>
      </w:r>
      <w:r>
        <w:rPr>
          <w:szCs w:val="24"/>
        </w:rPr>
        <w:t xml:space="preserve"> sardinha. As simulaçoes mostrara</w:t>
      </w:r>
      <w:r w:rsidRPr="00211901">
        <w:rPr>
          <w:szCs w:val="24"/>
        </w:rPr>
        <w:t xml:space="preserve">m </w:t>
      </w:r>
      <w:r>
        <w:rPr>
          <w:szCs w:val="24"/>
        </w:rPr>
        <w:t xml:space="preserve">o </w:t>
      </w:r>
      <w:r w:rsidRPr="00211901">
        <w:rPr>
          <w:szCs w:val="24"/>
        </w:rPr>
        <w:t xml:space="preserve">aumento </w:t>
      </w:r>
      <w:r>
        <w:rPr>
          <w:szCs w:val="24"/>
        </w:rPr>
        <w:t>d</w:t>
      </w:r>
      <w:r w:rsidRPr="00211901">
        <w:rPr>
          <w:szCs w:val="24"/>
        </w:rPr>
        <w:t>a mortalidade larval inicial causada pela temperatura e mostrou que a mortalidade por advecção se torna um processo importante dependendo da estratégia de desova. O mais importante é que a variabilidade oceânica sozinha, particular</w:t>
      </w:r>
      <w:r>
        <w:rPr>
          <w:szCs w:val="24"/>
        </w:rPr>
        <w:t>mente durante os primeiros estág</w:t>
      </w:r>
      <w:r w:rsidRPr="00211901">
        <w:rPr>
          <w:szCs w:val="24"/>
        </w:rPr>
        <w:t>ios de desenvolvimento da sardinha brasileira, não provou ser suficiente para explicar os desembarques de peixes extremos registrados.</w:t>
      </w:r>
    </w:p>
    <w:p w:rsidR="00A774C8" w:rsidRDefault="00A774C8" w:rsidP="00005426">
      <w:pPr>
        <w:spacing w:line="360" w:lineRule="auto"/>
        <w:ind w:firstLine="426"/>
        <w:jc w:val="both"/>
        <w:rPr>
          <w:szCs w:val="24"/>
        </w:rPr>
      </w:pPr>
      <w:r w:rsidRPr="00211901">
        <w:rPr>
          <w:szCs w:val="24"/>
        </w:rPr>
        <w:t xml:space="preserve">A redução da mortalidade de larvas devido ao efeito do habitat de desova não foi estatisticamente detectada, uma vez que as taxas de mortalidade não são significativamente diferentes entre os anos de </w:t>
      </w:r>
      <w:r>
        <w:rPr>
          <w:szCs w:val="24"/>
        </w:rPr>
        <w:t xml:space="preserve">máximos e mínimos </w:t>
      </w:r>
      <w:r w:rsidRPr="00211901">
        <w:rPr>
          <w:szCs w:val="24"/>
        </w:rPr>
        <w:t xml:space="preserve">desembarques de sardinha. Pode-se observar, entretanto, que a mortalidade nos </w:t>
      </w:r>
      <w:r>
        <w:rPr>
          <w:szCs w:val="24"/>
        </w:rPr>
        <w:t xml:space="preserve">primeiros dias é maior antes dos anos de mínimos </w:t>
      </w:r>
      <w:r w:rsidRPr="00211901">
        <w:rPr>
          <w:szCs w:val="24"/>
        </w:rPr>
        <w:t xml:space="preserve">desembarques em comparação com anos de </w:t>
      </w:r>
      <w:r>
        <w:rPr>
          <w:szCs w:val="24"/>
        </w:rPr>
        <w:t>máxima</w:t>
      </w:r>
      <w:r w:rsidRPr="00211901">
        <w:rPr>
          <w:szCs w:val="24"/>
        </w:rPr>
        <w:t>. O ponto aqui é que</w:t>
      </w:r>
      <w:r>
        <w:rPr>
          <w:szCs w:val="24"/>
        </w:rPr>
        <w:t>,</w:t>
      </w:r>
      <w:r w:rsidRPr="00211901">
        <w:rPr>
          <w:szCs w:val="24"/>
        </w:rPr>
        <w:t xml:space="preserve"> a desova em locais específicos ao longo da PCSE melhora a sobrevivência das larvas, mas não impede o declínio da produção </w:t>
      </w:r>
      <w:r>
        <w:rPr>
          <w:szCs w:val="24"/>
        </w:rPr>
        <w:t>pesqueira.</w:t>
      </w:r>
      <w:r w:rsidRPr="00211901">
        <w:rPr>
          <w:szCs w:val="24"/>
        </w:rPr>
        <w:t xml:space="preserve"> </w:t>
      </w:r>
      <w:r>
        <w:rPr>
          <w:szCs w:val="24"/>
        </w:rPr>
        <w:t>Assim,</w:t>
      </w:r>
      <w:r w:rsidRPr="00211901">
        <w:rPr>
          <w:szCs w:val="24"/>
        </w:rPr>
        <w:t xml:space="preserve"> as flutuações abruptas dos desembarques de peixes </w:t>
      </w:r>
      <w:r>
        <w:rPr>
          <w:szCs w:val="24"/>
        </w:rPr>
        <w:t>devem</w:t>
      </w:r>
      <w:r w:rsidRPr="00211901">
        <w:rPr>
          <w:szCs w:val="24"/>
        </w:rPr>
        <w:t xml:space="preserve"> estar relacionadas a outros fatores</w:t>
      </w:r>
      <w:r>
        <w:rPr>
          <w:szCs w:val="24"/>
        </w:rPr>
        <w:t xml:space="preserve"> </w:t>
      </w:r>
      <w:r w:rsidRPr="00211901">
        <w:rPr>
          <w:szCs w:val="24"/>
        </w:rPr>
        <w:t xml:space="preserve">como predação e </w:t>
      </w:r>
      <w:r>
        <w:rPr>
          <w:szCs w:val="24"/>
        </w:rPr>
        <w:t>inanição</w:t>
      </w:r>
      <w:r w:rsidRPr="00211901">
        <w:rPr>
          <w:szCs w:val="24"/>
        </w:rPr>
        <w:t>, devem ser seriamente considerados para fins de manejo.</w:t>
      </w:r>
    </w:p>
    <w:p w:rsidR="00E24DAC" w:rsidRPr="00211901" w:rsidRDefault="00E24DAC" w:rsidP="00005426">
      <w:pPr>
        <w:spacing w:line="360" w:lineRule="auto"/>
        <w:ind w:firstLine="426"/>
        <w:jc w:val="both"/>
        <w:rPr>
          <w:szCs w:val="24"/>
        </w:rPr>
      </w:pPr>
      <w:r>
        <w:t xml:space="preserve">No âmbito da presente abordagem, a análise exploratória aplicada a dados espaciais é essencial ao desenvolvimento das etapas da modelagem de estatística espacial, é sensível ao tipo de distribuição, à presença de valores extremos e à ausência de estacionariedade. Câmara et al. (2004b) lembram que na análise espacial é importante investigar as regiões de outliers não só no conjunto dos dados, mas também em relação </w:t>
      </w:r>
      <w:r>
        <w:lastRenderedPageBreak/>
        <w:t>aos seus vizinhos. Assim, esta técnica busca identificar a estrutura de correlação espacial que melhor descreva os dados, tendo como ideia básica, a estimativa da magnitude da autocorrelação espacial entre as áreas</w:t>
      </w:r>
    </w:p>
    <w:p w:rsidR="00A774C8" w:rsidRDefault="00A774C8" w:rsidP="00A774C8"/>
    <w:p w:rsidR="00A774C8" w:rsidRPr="00560BFF" w:rsidRDefault="00A774C8" w:rsidP="00A774C8">
      <w:pPr>
        <w:pStyle w:val="ListParagraph"/>
        <w:numPr>
          <w:ilvl w:val="0"/>
          <w:numId w:val="2"/>
        </w:numPr>
        <w:rPr>
          <w:b/>
        </w:rPr>
      </w:pPr>
      <w:r w:rsidRPr="00560BFF">
        <w:rPr>
          <w:b/>
        </w:rPr>
        <w:t>Referência</w:t>
      </w:r>
      <w:r>
        <w:rPr>
          <w:b/>
        </w:rPr>
        <w:t>l</w:t>
      </w:r>
      <w:r w:rsidRPr="00560BFF">
        <w:rPr>
          <w:b/>
        </w:rPr>
        <w:t xml:space="preserve"> Bibliográfico</w:t>
      </w:r>
    </w:p>
    <w:bookmarkEnd w:id="1"/>
    <w:p w:rsidR="00E24DAC" w:rsidRDefault="00E24DAC" w:rsidP="00A774C8">
      <w:pPr>
        <w:spacing w:after="80"/>
        <w:rPr>
          <w:color w:val="000000"/>
          <w:sz w:val="20"/>
          <w:lang w:val="en-US"/>
        </w:rPr>
      </w:pPr>
    </w:p>
    <w:p w:rsidR="009409F5" w:rsidRPr="00620102" w:rsidRDefault="00E24DAC" w:rsidP="00620102">
      <w:pPr>
        <w:spacing w:before="240" w:after="80"/>
        <w:rPr>
          <w:sz w:val="20"/>
          <w:lang w:val="en-US"/>
        </w:rPr>
      </w:pPr>
      <w:proofErr w:type="spellStart"/>
      <w:r w:rsidRPr="00620102">
        <w:rPr>
          <w:sz w:val="20"/>
          <w:lang w:val="en-US"/>
        </w:rPr>
        <w:t>A</w:t>
      </w:r>
      <w:r w:rsidR="00620102" w:rsidRPr="00620102">
        <w:rPr>
          <w:sz w:val="20"/>
          <w:lang w:val="en-US"/>
        </w:rPr>
        <w:t>nselin</w:t>
      </w:r>
      <w:proofErr w:type="spellEnd"/>
      <w:r w:rsidRPr="00620102">
        <w:rPr>
          <w:sz w:val="20"/>
          <w:lang w:val="en-US"/>
        </w:rPr>
        <w:t xml:space="preserve">, L. Exploratory spatial data analysis and geographic information systems. In: </w:t>
      </w:r>
      <w:r w:rsidR="00620102" w:rsidRPr="00620102">
        <w:rPr>
          <w:sz w:val="20"/>
          <w:lang w:val="en-US"/>
        </w:rPr>
        <w:t xml:space="preserve">Workshop </w:t>
      </w:r>
      <w:proofErr w:type="gramStart"/>
      <w:r w:rsidR="00620102" w:rsidRPr="00620102">
        <w:rPr>
          <w:sz w:val="20"/>
          <w:lang w:val="en-US"/>
        </w:rPr>
        <w:t>On</w:t>
      </w:r>
      <w:proofErr w:type="gramEnd"/>
      <w:r w:rsidR="00620102" w:rsidRPr="00620102">
        <w:rPr>
          <w:sz w:val="20"/>
          <w:lang w:val="en-US"/>
        </w:rPr>
        <w:t xml:space="preserve"> New Tools For Spatial Analysis</w:t>
      </w:r>
      <w:r w:rsidRPr="00620102">
        <w:rPr>
          <w:sz w:val="20"/>
          <w:lang w:val="en-US"/>
        </w:rPr>
        <w:t xml:space="preserve">, Lisbon Portugal: </w:t>
      </w:r>
      <w:r w:rsidRPr="00620102">
        <w:rPr>
          <w:b/>
          <w:sz w:val="20"/>
          <w:lang w:val="en-US"/>
        </w:rPr>
        <w:t>ISEGI</w:t>
      </w:r>
      <w:r w:rsidRPr="00620102">
        <w:rPr>
          <w:sz w:val="20"/>
          <w:lang w:val="en-US"/>
        </w:rPr>
        <w:t xml:space="preserve">, </w:t>
      </w:r>
      <w:proofErr w:type="spellStart"/>
      <w:r w:rsidRPr="00620102">
        <w:rPr>
          <w:sz w:val="20"/>
          <w:lang w:val="en-US"/>
        </w:rPr>
        <w:t>nov.</w:t>
      </w:r>
      <w:proofErr w:type="spellEnd"/>
      <w:r w:rsidRPr="00620102">
        <w:rPr>
          <w:sz w:val="20"/>
          <w:lang w:val="en-US"/>
        </w:rPr>
        <w:t xml:space="preserve"> 1993. p. 18-20. </w:t>
      </w:r>
    </w:p>
    <w:p w:rsidR="009409F5" w:rsidRPr="00620102" w:rsidRDefault="00E24DAC" w:rsidP="00620102">
      <w:pPr>
        <w:spacing w:before="240" w:after="80"/>
        <w:rPr>
          <w:sz w:val="20"/>
          <w:lang w:val="en-US"/>
        </w:rPr>
      </w:pPr>
      <w:proofErr w:type="spellStart"/>
      <w:r w:rsidRPr="00620102">
        <w:rPr>
          <w:sz w:val="20"/>
          <w:lang w:val="en-US"/>
        </w:rPr>
        <w:t>A</w:t>
      </w:r>
      <w:r w:rsidR="00620102" w:rsidRPr="00620102">
        <w:rPr>
          <w:sz w:val="20"/>
          <w:lang w:val="en-US"/>
        </w:rPr>
        <w:t>nselin</w:t>
      </w:r>
      <w:proofErr w:type="spellEnd"/>
      <w:r w:rsidRPr="00620102">
        <w:rPr>
          <w:sz w:val="20"/>
          <w:lang w:val="en-US"/>
        </w:rPr>
        <w:t xml:space="preserve">, Luc. Local Indicators of Spatial Association-LISA. </w:t>
      </w:r>
      <w:r w:rsidRPr="00620102">
        <w:rPr>
          <w:b/>
          <w:sz w:val="20"/>
          <w:lang w:val="en-US"/>
        </w:rPr>
        <w:t>Geographical Analysis</w:t>
      </w:r>
      <w:r w:rsidRPr="00620102">
        <w:rPr>
          <w:sz w:val="20"/>
          <w:lang w:val="en-US"/>
        </w:rPr>
        <w:t xml:space="preserve">, Ohio State University Press, v. 27, n. 2, p. 93-115, aril de 1995. </w:t>
      </w:r>
    </w:p>
    <w:p w:rsidR="00A774C8" w:rsidRPr="00620102" w:rsidRDefault="00A774C8" w:rsidP="00620102">
      <w:pPr>
        <w:spacing w:before="240" w:after="80"/>
        <w:rPr>
          <w:color w:val="000000"/>
          <w:sz w:val="20"/>
          <w:lang w:val="en-US"/>
        </w:rPr>
      </w:pPr>
      <w:proofErr w:type="spellStart"/>
      <w:r w:rsidRPr="00620102">
        <w:rPr>
          <w:color w:val="000000"/>
          <w:sz w:val="20"/>
          <w:lang w:val="en-US"/>
        </w:rPr>
        <w:t>Bakun</w:t>
      </w:r>
      <w:proofErr w:type="spellEnd"/>
      <w:r w:rsidRPr="00620102">
        <w:rPr>
          <w:color w:val="000000"/>
          <w:sz w:val="20"/>
          <w:lang w:val="en-US"/>
        </w:rPr>
        <w:t xml:space="preserve"> A, Parrish R. H. Comparative studies of coastal pelagic fish reproductive</w:t>
      </w:r>
      <w:r w:rsidRPr="00620102">
        <w:rPr>
          <w:color w:val="000000"/>
          <w:sz w:val="20"/>
          <w:lang w:val="en-US"/>
        </w:rPr>
        <w:br/>
        <w:t>habitats: the Brazilian sardine (</w:t>
      </w:r>
      <w:proofErr w:type="spellStart"/>
      <w:r w:rsidRPr="00620102">
        <w:rPr>
          <w:color w:val="000000"/>
          <w:sz w:val="20"/>
          <w:lang w:val="en-US"/>
        </w:rPr>
        <w:t>Sardinella</w:t>
      </w:r>
      <w:proofErr w:type="spellEnd"/>
      <w:r w:rsidRPr="00620102">
        <w:rPr>
          <w:color w:val="000000"/>
          <w:sz w:val="20"/>
          <w:lang w:val="en-US"/>
        </w:rPr>
        <w:t xml:space="preserve"> </w:t>
      </w:r>
      <w:proofErr w:type="spellStart"/>
      <w:r w:rsidRPr="00620102">
        <w:rPr>
          <w:color w:val="000000"/>
          <w:sz w:val="20"/>
          <w:lang w:val="en-US"/>
        </w:rPr>
        <w:t>aurita</w:t>
      </w:r>
      <w:proofErr w:type="spellEnd"/>
      <w:r w:rsidRPr="00620102">
        <w:rPr>
          <w:b/>
          <w:color w:val="000000"/>
          <w:sz w:val="20"/>
          <w:lang w:val="en-US"/>
        </w:rPr>
        <w:t>). ICES Journal of Marine Science,</w:t>
      </w:r>
      <w:r w:rsidRPr="00620102">
        <w:rPr>
          <w:color w:val="000000"/>
          <w:sz w:val="20"/>
          <w:lang w:val="en-US"/>
        </w:rPr>
        <w:t xml:space="preserve"> 1990. v. 46, p. 269–283.  </w:t>
      </w:r>
    </w:p>
    <w:p w:rsidR="00A774C8" w:rsidRPr="00620102" w:rsidRDefault="00A774C8" w:rsidP="00620102">
      <w:pPr>
        <w:spacing w:before="240" w:after="80"/>
        <w:rPr>
          <w:color w:val="000000"/>
          <w:sz w:val="20"/>
          <w:lang w:val="en-US"/>
        </w:rPr>
      </w:pPr>
      <w:r w:rsidRPr="00620102">
        <w:rPr>
          <w:color w:val="000000"/>
          <w:sz w:val="20"/>
          <w:lang w:val="en-US"/>
        </w:rPr>
        <w:t xml:space="preserve">Behrens et al. Bayesian analysis of extreme events with threshold estimation. </w:t>
      </w:r>
      <w:r w:rsidRPr="00620102">
        <w:rPr>
          <w:b/>
          <w:iCs/>
          <w:color w:val="000000"/>
          <w:sz w:val="20"/>
          <w:lang w:val="en-US"/>
        </w:rPr>
        <w:t>Statistical modeling</w:t>
      </w:r>
      <w:r w:rsidRPr="00620102">
        <w:rPr>
          <w:color w:val="000000"/>
          <w:sz w:val="20"/>
          <w:lang w:val="en-US"/>
        </w:rPr>
        <w:t>, 2004. v. 4, n. 3, p. 227-244.</w:t>
      </w:r>
    </w:p>
    <w:p w:rsidR="00A774C8" w:rsidRPr="00620102" w:rsidRDefault="00A774C8" w:rsidP="00620102">
      <w:pPr>
        <w:spacing w:before="240" w:after="80"/>
        <w:rPr>
          <w:color w:val="000000"/>
          <w:sz w:val="20"/>
          <w:lang w:val="en-US"/>
        </w:rPr>
      </w:pPr>
      <w:r w:rsidRPr="00620102">
        <w:rPr>
          <w:color w:val="000000"/>
          <w:sz w:val="20"/>
          <w:lang w:val="en-US"/>
        </w:rPr>
        <w:t xml:space="preserve">Bernal et al. Sardine spawning off the </w:t>
      </w:r>
      <w:proofErr w:type="spellStart"/>
      <w:proofErr w:type="gramStart"/>
      <w:r w:rsidRPr="00620102">
        <w:rPr>
          <w:color w:val="000000"/>
          <w:sz w:val="20"/>
          <w:lang w:val="en-US"/>
        </w:rPr>
        <w:t>european</w:t>
      </w:r>
      <w:proofErr w:type="spellEnd"/>
      <w:proofErr w:type="gramEnd"/>
      <w:r w:rsidRPr="00620102">
        <w:rPr>
          <w:color w:val="000000"/>
          <w:sz w:val="20"/>
          <w:lang w:val="en-US"/>
        </w:rPr>
        <w:t xml:space="preserve"> </w:t>
      </w:r>
      <w:proofErr w:type="spellStart"/>
      <w:r w:rsidRPr="00620102">
        <w:rPr>
          <w:color w:val="000000"/>
          <w:sz w:val="20"/>
          <w:lang w:val="en-US"/>
        </w:rPr>
        <w:t>atlantic</w:t>
      </w:r>
      <w:proofErr w:type="spellEnd"/>
      <w:r w:rsidRPr="00620102">
        <w:rPr>
          <w:color w:val="000000"/>
          <w:sz w:val="20"/>
          <w:lang w:val="en-US"/>
        </w:rPr>
        <w:t xml:space="preserve"> coast: characterization of and </w:t>
      </w:r>
      <w:proofErr w:type="spellStart"/>
      <w:r w:rsidRPr="00620102">
        <w:rPr>
          <w:color w:val="000000"/>
          <w:sz w:val="20"/>
          <w:lang w:val="en-US"/>
        </w:rPr>
        <w:t>spatio</w:t>
      </w:r>
      <w:proofErr w:type="spellEnd"/>
      <w:r w:rsidRPr="00620102">
        <w:rPr>
          <w:color w:val="000000"/>
          <w:sz w:val="20"/>
          <w:lang w:val="en-US"/>
        </w:rPr>
        <w:t xml:space="preserve">-temporal variability in spawning habitat. </w:t>
      </w:r>
      <w:r w:rsidRPr="00620102">
        <w:rPr>
          <w:b/>
          <w:bCs/>
          <w:color w:val="000000"/>
          <w:sz w:val="20"/>
          <w:lang w:val="en-US"/>
        </w:rPr>
        <w:t>GLOBEC International Newsletter</w:t>
      </w:r>
      <w:r w:rsidRPr="00620102">
        <w:rPr>
          <w:color w:val="000000"/>
          <w:sz w:val="20"/>
          <w:lang w:val="en-US"/>
        </w:rPr>
        <w:t>, 2007.v.13, n. 2, p. 20-22.</w:t>
      </w:r>
    </w:p>
    <w:p w:rsidR="00A774C8" w:rsidRPr="00620102" w:rsidRDefault="00A774C8" w:rsidP="00620102">
      <w:pPr>
        <w:spacing w:before="240" w:after="80"/>
        <w:rPr>
          <w:color w:val="000000"/>
          <w:sz w:val="20"/>
          <w:lang w:val="en-US"/>
        </w:rPr>
      </w:pPr>
      <w:proofErr w:type="spellStart"/>
      <w:r w:rsidRPr="00620102">
        <w:rPr>
          <w:color w:val="000000"/>
          <w:sz w:val="20"/>
          <w:lang w:val="en-US"/>
        </w:rPr>
        <w:t>Brochier</w:t>
      </w:r>
      <w:proofErr w:type="spellEnd"/>
      <w:r w:rsidRPr="00620102">
        <w:rPr>
          <w:color w:val="000000"/>
          <w:sz w:val="20"/>
          <w:lang w:val="en-US"/>
        </w:rPr>
        <w:t xml:space="preserve"> et al., </w:t>
      </w:r>
      <w:proofErr w:type="spellStart"/>
      <w:r w:rsidRPr="00620102">
        <w:rPr>
          <w:color w:val="000000"/>
          <w:sz w:val="20"/>
          <w:lang w:val="en-US"/>
        </w:rPr>
        <w:t>Ichthyoplankton</w:t>
      </w:r>
      <w:proofErr w:type="spellEnd"/>
      <w:r w:rsidRPr="00620102">
        <w:rPr>
          <w:i/>
          <w:iCs/>
          <w:color w:val="000000"/>
          <w:sz w:val="20"/>
          <w:lang w:val="en-US"/>
        </w:rPr>
        <w:t xml:space="preserve"> </w:t>
      </w:r>
      <w:r w:rsidRPr="00620102">
        <w:rPr>
          <w:color w:val="000000"/>
          <w:sz w:val="20"/>
          <w:lang w:val="en-US"/>
        </w:rPr>
        <w:t xml:space="preserve">transport from the African coast to Canary Island. </w:t>
      </w:r>
      <w:r w:rsidRPr="00620102">
        <w:rPr>
          <w:b/>
          <w:color w:val="000000"/>
          <w:sz w:val="20"/>
          <w:lang w:val="en-US"/>
        </w:rPr>
        <w:t>Journal of Marine Systems</w:t>
      </w:r>
      <w:r w:rsidRPr="00620102">
        <w:rPr>
          <w:color w:val="000000"/>
          <w:sz w:val="20"/>
          <w:lang w:val="en-US"/>
        </w:rPr>
        <w:t xml:space="preserve">. 2011. v. </w:t>
      </w:r>
      <w:r w:rsidRPr="00620102">
        <w:rPr>
          <w:i/>
          <w:iCs/>
          <w:color w:val="000000"/>
          <w:sz w:val="20"/>
          <w:lang w:val="en-US"/>
        </w:rPr>
        <w:t xml:space="preserve">43 </w:t>
      </w:r>
      <w:r w:rsidRPr="00620102">
        <w:rPr>
          <w:i/>
          <w:color w:val="000000"/>
          <w:sz w:val="20"/>
          <w:lang w:val="en-US"/>
        </w:rPr>
        <w:t>87</w:t>
      </w:r>
      <w:r w:rsidRPr="00620102">
        <w:rPr>
          <w:color w:val="000000"/>
          <w:sz w:val="20"/>
          <w:lang w:val="en-US"/>
        </w:rPr>
        <w:t xml:space="preserve">, p. 109-122. </w:t>
      </w:r>
    </w:p>
    <w:p w:rsidR="00620102" w:rsidRPr="00620102" w:rsidRDefault="00620102" w:rsidP="00620102">
      <w:pPr>
        <w:spacing w:before="240" w:after="80"/>
        <w:rPr>
          <w:sz w:val="20"/>
        </w:rPr>
      </w:pPr>
      <w:proofErr w:type="spellStart"/>
      <w:r w:rsidRPr="00644A46">
        <w:rPr>
          <w:sz w:val="20"/>
          <w:lang w:val="en-US"/>
        </w:rPr>
        <w:t>Câmara</w:t>
      </w:r>
      <w:proofErr w:type="spellEnd"/>
      <w:r w:rsidRPr="00644A46">
        <w:rPr>
          <w:sz w:val="20"/>
          <w:lang w:val="en-US"/>
        </w:rPr>
        <w:t xml:space="preserve">, Gilberto et al. </w:t>
      </w:r>
      <w:r w:rsidRPr="00620102">
        <w:rPr>
          <w:sz w:val="20"/>
        </w:rPr>
        <w:t>Análise espacial e geoprocessamento</w:t>
      </w:r>
      <w:proofErr w:type="gramStart"/>
      <w:r w:rsidRPr="00620102">
        <w:rPr>
          <w:sz w:val="20"/>
        </w:rPr>
        <w:t>.(</w:t>
      </w:r>
      <w:proofErr w:type="gramEnd"/>
      <w:r w:rsidRPr="00620102">
        <w:rPr>
          <w:sz w:val="20"/>
        </w:rPr>
        <w:t xml:space="preserve">eds). Análise Espacial de Dados Geográficos. Brasília: </w:t>
      </w:r>
      <w:r w:rsidRPr="00620102">
        <w:rPr>
          <w:b/>
          <w:sz w:val="20"/>
        </w:rPr>
        <w:t>EMBRAPA</w:t>
      </w:r>
      <w:r w:rsidRPr="00620102">
        <w:rPr>
          <w:sz w:val="20"/>
        </w:rPr>
        <w:t xml:space="preserve">, 2004a. </w:t>
      </w:r>
    </w:p>
    <w:p w:rsidR="00620102" w:rsidRPr="00644A46" w:rsidRDefault="00620102" w:rsidP="00620102">
      <w:pPr>
        <w:spacing w:before="240" w:after="80"/>
        <w:rPr>
          <w:color w:val="000000"/>
          <w:sz w:val="20"/>
          <w:lang w:val="en-US"/>
        </w:rPr>
      </w:pPr>
      <w:r w:rsidRPr="00620102">
        <w:rPr>
          <w:sz w:val="20"/>
        </w:rPr>
        <w:t xml:space="preserve">Câmara, Gilberto et al. Análise espacial de áreas. (eds). Análise Espacial de Dados Geográficos. </w:t>
      </w:r>
      <w:r w:rsidRPr="00644A46">
        <w:rPr>
          <w:sz w:val="20"/>
          <w:lang w:val="en-US"/>
        </w:rPr>
        <w:t xml:space="preserve">Brasília: </w:t>
      </w:r>
      <w:r w:rsidRPr="00644A46">
        <w:rPr>
          <w:b/>
          <w:sz w:val="20"/>
          <w:lang w:val="en-US"/>
        </w:rPr>
        <w:t>EMBRAPA</w:t>
      </w:r>
      <w:r w:rsidRPr="00644A46">
        <w:rPr>
          <w:sz w:val="20"/>
          <w:lang w:val="en-US"/>
        </w:rPr>
        <w:t>, 2004b.</w:t>
      </w:r>
    </w:p>
    <w:p w:rsidR="00A774C8" w:rsidRPr="00620102" w:rsidRDefault="00A774C8" w:rsidP="00620102">
      <w:pPr>
        <w:spacing w:before="240" w:after="80"/>
        <w:rPr>
          <w:rStyle w:val="fontstyle01"/>
          <w:rFonts w:ascii="Times New Roman" w:hAnsi="Times New Roman"/>
          <w:sz w:val="20"/>
          <w:szCs w:val="20"/>
        </w:rPr>
      </w:pPr>
      <w:r w:rsidRPr="00620102">
        <w:rPr>
          <w:rStyle w:val="fontstyle01"/>
          <w:rFonts w:ascii="Times New Roman" w:hAnsi="Times New Roman"/>
          <w:sz w:val="20"/>
          <w:szCs w:val="20"/>
          <w:lang w:val="en-US"/>
        </w:rPr>
        <w:t>Carton JA, Giese BS. A Reanalysis of Ocean Climate Using Simple Ocean Data</w:t>
      </w:r>
      <w:r w:rsidRPr="00620102">
        <w:rPr>
          <w:color w:val="000000"/>
          <w:sz w:val="20"/>
          <w:lang w:val="en-US"/>
        </w:rPr>
        <w:br/>
      </w:r>
      <w:r w:rsidRPr="00620102">
        <w:rPr>
          <w:rStyle w:val="fontstyle01"/>
          <w:rFonts w:ascii="Times New Roman" w:hAnsi="Times New Roman"/>
          <w:sz w:val="20"/>
          <w:szCs w:val="20"/>
          <w:lang w:val="en-US"/>
        </w:rPr>
        <w:t xml:space="preserve">Assimilation (SODA). </w:t>
      </w:r>
      <w:r w:rsidRPr="00620102">
        <w:rPr>
          <w:rStyle w:val="fontstyle01"/>
          <w:rFonts w:ascii="Times New Roman" w:hAnsi="Times New Roman"/>
          <w:b/>
          <w:sz w:val="20"/>
          <w:szCs w:val="20"/>
        </w:rPr>
        <w:t>Monthly Weather Review</w:t>
      </w:r>
      <w:r w:rsidRPr="00620102">
        <w:rPr>
          <w:rStyle w:val="fontstyle01"/>
          <w:rFonts w:ascii="Times New Roman" w:hAnsi="Times New Roman"/>
          <w:sz w:val="20"/>
          <w:szCs w:val="20"/>
        </w:rPr>
        <w:t>. 2008. v.136, p. 2999–3017.</w:t>
      </w:r>
    </w:p>
    <w:p w:rsidR="00A774C8" w:rsidRPr="00620102" w:rsidRDefault="00A774C8" w:rsidP="00620102">
      <w:pPr>
        <w:spacing w:before="240" w:after="80"/>
        <w:rPr>
          <w:b/>
          <w:sz w:val="20"/>
          <w:lang w:val="en-US"/>
        </w:rPr>
      </w:pPr>
      <w:r w:rsidRPr="00620102">
        <w:rPr>
          <w:rStyle w:val="fontstyle01"/>
          <w:rFonts w:ascii="Times New Roman" w:hAnsi="Times New Roman"/>
          <w:sz w:val="20"/>
          <w:szCs w:val="20"/>
        </w:rPr>
        <w:t xml:space="preserve">Castelo, JP. </w:t>
      </w:r>
      <w:r w:rsidRPr="00620102">
        <w:rPr>
          <w:rStyle w:val="fontstyle01"/>
          <w:rFonts w:ascii="Times New Roman" w:hAnsi="Times New Roman"/>
          <w:b/>
          <w:sz w:val="20"/>
          <w:szCs w:val="20"/>
        </w:rPr>
        <w:t xml:space="preserve">Síntese sobre a distribuição, abundância , potencial pesqueiro ebiologia da sardinha verdadeira (Sardinella brasiliensis). </w:t>
      </w:r>
      <w:r w:rsidRPr="00620102">
        <w:rPr>
          <w:b/>
          <w:color w:val="000000"/>
          <w:sz w:val="20"/>
        </w:rPr>
        <w:t>Avaliação do Potencial Sustentável de Recursos Vivos na Zona Econômica Exclusiva MMA-REVIZEE</w:t>
      </w:r>
      <w:r w:rsidRPr="00620102">
        <w:rPr>
          <w:color w:val="000000"/>
          <w:sz w:val="20"/>
        </w:rPr>
        <w:t xml:space="preserve">. Análise/Refinamento de Dados sobre Prospecção Pesqueira. Departamento de Oceanografia. </w:t>
      </w:r>
      <w:proofErr w:type="spellStart"/>
      <w:r w:rsidRPr="00620102">
        <w:rPr>
          <w:color w:val="000000"/>
          <w:sz w:val="20"/>
          <w:lang w:val="en-US"/>
        </w:rPr>
        <w:t>Fundação</w:t>
      </w:r>
      <w:proofErr w:type="spellEnd"/>
      <w:r w:rsidRPr="00620102">
        <w:rPr>
          <w:color w:val="000000"/>
          <w:sz w:val="20"/>
          <w:lang w:val="en-US"/>
        </w:rPr>
        <w:t xml:space="preserve"> </w:t>
      </w:r>
      <w:proofErr w:type="spellStart"/>
      <w:r w:rsidRPr="00620102">
        <w:rPr>
          <w:color w:val="000000"/>
          <w:sz w:val="20"/>
          <w:lang w:val="en-US"/>
        </w:rPr>
        <w:t>Universidade</w:t>
      </w:r>
      <w:proofErr w:type="spellEnd"/>
      <w:r w:rsidRPr="00620102">
        <w:rPr>
          <w:color w:val="000000"/>
          <w:sz w:val="20"/>
          <w:lang w:val="en-US"/>
        </w:rPr>
        <w:t xml:space="preserve"> do Rio Grande, 2006. p. 15</w:t>
      </w:r>
    </w:p>
    <w:p w:rsidR="00A774C8" w:rsidRPr="00620102" w:rsidRDefault="00A774C8" w:rsidP="00620102">
      <w:pPr>
        <w:spacing w:before="240" w:after="80"/>
        <w:rPr>
          <w:color w:val="000000"/>
          <w:sz w:val="20"/>
          <w:lang w:val="en-US"/>
        </w:rPr>
      </w:pPr>
      <w:r w:rsidRPr="00620102">
        <w:rPr>
          <w:sz w:val="20"/>
          <w:lang w:val="en-US"/>
        </w:rPr>
        <w:t>Castro et al.,</w:t>
      </w:r>
      <w:r w:rsidRPr="00620102">
        <w:rPr>
          <w:color w:val="000000"/>
          <w:sz w:val="20"/>
          <w:lang w:val="en-US"/>
        </w:rPr>
        <w:t xml:space="preserve"> Multidisciplinary oceanographic processes on the Western Atlantic Continental Shelf located between 4 °N and 34 °S. In: ROBINSON, A.R.; BRINK, K.H. </w:t>
      </w:r>
      <w:r w:rsidRPr="00620102">
        <w:rPr>
          <w:b/>
          <w:bCs/>
          <w:color w:val="000000"/>
          <w:sz w:val="20"/>
          <w:lang w:val="en-US"/>
        </w:rPr>
        <w:t>The sea</w:t>
      </w:r>
      <w:r w:rsidRPr="00620102">
        <w:rPr>
          <w:color w:val="000000"/>
          <w:sz w:val="20"/>
          <w:lang w:val="en-US"/>
        </w:rPr>
        <w:t xml:space="preserve">. New York: John Wiley &amp; Sons, 2006. vol. 14, p. 259-293. </w:t>
      </w:r>
    </w:p>
    <w:p w:rsidR="00A774C8" w:rsidRPr="00620102" w:rsidRDefault="00A774C8" w:rsidP="00620102">
      <w:pPr>
        <w:spacing w:before="240" w:after="80"/>
        <w:rPr>
          <w:sz w:val="20"/>
          <w:lang w:val="en-US"/>
        </w:rPr>
      </w:pPr>
      <w:proofErr w:type="spellStart"/>
      <w:r w:rsidRPr="00620102">
        <w:rPr>
          <w:color w:val="000000"/>
          <w:sz w:val="20"/>
          <w:lang w:val="en-US"/>
        </w:rPr>
        <w:t>Cergole</w:t>
      </w:r>
      <w:proofErr w:type="spellEnd"/>
      <w:r w:rsidRPr="00620102">
        <w:rPr>
          <w:color w:val="000000"/>
          <w:sz w:val="20"/>
          <w:lang w:val="en-US"/>
        </w:rPr>
        <w:t xml:space="preserve">, M. C. Stock assessment of the Brazilian sardine, </w:t>
      </w:r>
      <w:proofErr w:type="spellStart"/>
      <w:r w:rsidRPr="00620102">
        <w:rPr>
          <w:i/>
          <w:iCs/>
          <w:color w:val="000000"/>
          <w:sz w:val="20"/>
          <w:lang w:val="en-US"/>
        </w:rPr>
        <w:t>Sardinella</w:t>
      </w:r>
      <w:proofErr w:type="spellEnd"/>
      <w:r w:rsidRPr="00620102">
        <w:rPr>
          <w:i/>
          <w:iCs/>
          <w:color w:val="000000"/>
          <w:sz w:val="20"/>
          <w:lang w:val="en-US"/>
        </w:rPr>
        <w:t xml:space="preserve"> </w:t>
      </w:r>
      <w:proofErr w:type="spellStart"/>
      <w:r w:rsidRPr="00620102">
        <w:rPr>
          <w:i/>
          <w:iCs/>
          <w:color w:val="000000"/>
          <w:sz w:val="20"/>
          <w:lang w:val="en-US"/>
        </w:rPr>
        <w:t>brasiliensis</w:t>
      </w:r>
      <w:proofErr w:type="spellEnd"/>
      <w:r w:rsidRPr="00620102">
        <w:rPr>
          <w:i/>
          <w:iCs/>
          <w:color w:val="000000"/>
          <w:sz w:val="20"/>
          <w:lang w:val="en-US"/>
        </w:rPr>
        <w:t xml:space="preserve">, </w:t>
      </w:r>
      <w:r w:rsidRPr="00620102">
        <w:rPr>
          <w:color w:val="000000"/>
          <w:sz w:val="20"/>
          <w:lang w:val="en-US"/>
        </w:rPr>
        <w:t xml:space="preserve">of the southeastern coast of Brazil. </w:t>
      </w:r>
      <w:r w:rsidRPr="00620102">
        <w:rPr>
          <w:b/>
          <w:color w:val="000000"/>
          <w:sz w:val="20"/>
        </w:rPr>
        <w:t>Scientia Marina</w:t>
      </w:r>
      <w:r w:rsidRPr="00620102">
        <w:rPr>
          <w:color w:val="000000"/>
          <w:sz w:val="20"/>
        </w:rPr>
        <w:t xml:space="preserve">, 1995.v. 59, n. 3 – 4, p. 597 – 610. COLE, J.; McGLADE, J. Clupeoid. </w:t>
      </w:r>
      <w:r w:rsidRPr="00620102">
        <w:rPr>
          <w:color w:val="000000"/>
          <w:sz w:val="20"/>
          <w:lang w:val="en-US"/>
        </w:rPr>
        <w:t xml:space="preserve">Population variability, the environment and satellite imagery in coastal upwelling systems. </w:t>
      </w:r>
      <w:r w:rsidRPr="00620102">
        <w:rPr>
          <w:b/>
          <w:bCs/>
          <w:color w:val="000000"/>
          <w:sz w:val="20"/>
          <w:lang w:val="en-US"/>
        </w:rPr>
        <w:t>Reviews in Fish Biology and Fisheries</w:t>
      </w:r>
      <w:r w:rsidRPr="00620102">
        <w:rPr>
          <w:color w:val="000000"/>
          <w:sz w:val="20"/>
          <w:lang w:val="en-US"/>
        </w:rPr>
        <w:t>, 1998.v. 8, p. 445 – 471.</w:t>
      </w:r>
    </w:p>
    <w:p w:rsidR="00A774C8" w:rsidRPr="00620102" w:rsidRDefault="00A774C8" w:rsidP="00620102">
      <w:pPr>
        <w:spacing w:before="240" w:after="80"/>
        <w:rPr>
          <w:color w:val="000000"/>
          <w:sz w:val="20"/>
          <w:lang w:val="en-US"/>
        </w:rPr>
      </w:pPr>
      <w:r w:rsidRPr="00620102">
        <w:rPr>
          <w:color w:val="000000"/>
          <w:sz w:val="20"/>
          <w:lang w:val="en-US"/>
        </w:rPr>
        <w:t xml:space="preserve">Cox, D. R.; </w:t>
      </w:r>
      <w:proofErr w:type="spellStart"/>
      <w:r w:rsidRPr="00620102">
        <w:rPr>
          <w:color w:val="000000"/>
          <w:sz w:val="20"/>
          <w:lang w:val="en-US"/>
        </w:rPr>
        <w:t>Isham</w:t>
      </w:r>
      <w:proofErr w:type="spellEnd"/>
      <w:r w:rsidRPr="00620102">
        <w:rPr>
          <w:color w:val="000000"/>
          <w:sz w:val="20"/>
          <w:lang w:val="en-US"/>
        </w:rPr>
        <w:t xml:space="preserve">, V. S.; Northrop, P. J. Floods: some probabilistic </w:t>
      </w:r>
      <w:proofErr w:type="spellStart"/>
      <w:r w:rsidRPr="00620102">
        <w:rPr>
          <w:color w:val="000000"/>
          <w:sz w:val="20"/>
          <w:lang w:val="en-US"/>
        </w:rPr>
        <w:t>ans</w:t>
      </w:r>
      <w:proofErr w:type="spellEnd"/>
      <w:r w:rsidRPr="00620102">
        <w:rPr>
          <w:color w:val="000000"/>
          <w:sz w:val="20"/>
          <w:lang w:val="en-US"/>
        </w:rPr>
        <w:t xml:space="preserve"> statistical approaches. </w:t>
      </w:r>
      <w:r w:rsidRPr="00620102">
        <w:rPr>
          <w:i/>
          <w:iCs/>
          <w:color w:val="000000"/>
          <w:sz w:val="20"/>
          <w:lang w:val="en-US"/>
        </w:rPr>
        <w:t xml:space="preserve">Philosophical Transactions: Mathematical. </w:t>
      </w:r>
      <w:r w:rsidRPr="00620102">
        <w:rPr>
          <w:b/>
          <w:iCs/>
          <w:color w:val="000000"/>
          <w:sz w:val="20"/>
          <w:lang w:val="en-US"/>
        </w:rPr>
        <w:t>Physical and Engineering Sciences A</w:t>
      </w:r>
      <w:r w:rsidRPr="00620102">
        <w:rPr>
          <w:i/>
          <w:iCs/>
          <w:color w:val="000000"/>
          <w:sz w:val="20"/>
          <w:lang w:val="en-US"/>
        </w:rPr>
        <w:t>.</w:t>
      </w:r>
      <w:r w:rsidRPr="00620102">
        <w:rPr>
          <w:color w:val="000000"/>
          <w:sz w:val="20"/>
          <w:lang w:val="en-US"/>
        </w:rPr>
        <w:t>, 2002.v. 360, p. 1389-1408.</w:t>
      </w:r>
    </w:p>
    <w:p w:rsidR="00A774C8" w:rsidRPr="00620102" w:rsidRDefault="00A774C8" w:rsidP="00620102">
      <w:pPr>
        <w:spacing w:before="240" w:after="80"/>
        <w:rPr>
          <w:color w:val="000000"/>
          <w:sz w:val="20"/>
        </w:rPr>
      </w:pPr>
      <w:r w:rsidRPr="00620102">
        <w:rPr>
          <w:color w:val="000000"/>
          <w:sz w:val="20"/>
          <w:lang w:val="en-US"/>
        </w:rPr>
        <w:t>Dias et al., Modeling the Spawning Strategies and Larval Survival of the Brazilian Sardine (</w:t>
      </w:r>
      <w:proofErr w:type="spellStart"/>
      <w:r w:rsidRPr="00620102">
        <w:rPr>
          <w:i/>
          <w:iCs/>
          <w:color w:val="000000"/>
          <w:sz w:val="20"/>
          <w:lang w:val="en-US"/>
        </w:rPr>
        <w:t>Sardinella</w:t>
      </w:r>
      <w:proofErr w:type="spellEnd"/>
      <w:r w:rsidRPr="00620102">
        <w:rPr>
          <w:i/>
          <w:iCs/>
          <w:color w:val="000000"/>
          <w:sz w:val="20"/>
          <w:lang w:val="en-US"/>
        </w:rPr>
        <w:t xml:space="preserve"> </w:t>
      </w:r>
      <w:proofErr w:type="spellStart"/>
      <w:r w:rsidRPr="00620102">
        <w:rPr>
          <w:i/>
          <w:iCs/>
          <w:color w:val="000000"/>
          <w:sz w:val="20"/>
          <w:lang w:val="en-US"/>
        </w:rPr>
        <w:t>brasiliensis</w:t>
      </w:r>
      <w:proofErr w:type="spellEnd"/>
      <w:r w:rsidRPr="00620102">
        <w:rPr>
          <w:color w:val="000000"/>
          <w:sz w:val="20"/>
          <w:lang w:val="en-US"/>
        </w:rPr>
        <w:t xml:space="preserve">). </w:t>
      </w:r>
      <w:r w:rsidRPr="00620102">
        <w:rPr>
          <w:b/>
          <w:bCs/>
          <w:color w:val="000000"/>
          <w:sz w:val="20"/>
        </w:rPr>
        <w:t xml:space="preserve">Progress in Oceanography, </w:t>
      </w:r>
      <w:r w:rsidRPr="00620102">
        <w:rPr>
          <w:color w:val="000000"/>
          <w:sz w:val="20"/>
        </w:rPr>
        <w:t xml:space="preserve">2014. v. 123, p. 38–53. </w:t>
      </w:r>
    </w:p>
    <w:p w:rsidR="00A774C8" w:rsidRPr="00620102" w:rsidRDefault="00A774C8" w:rsidP="00620102">
      <w:pPr>
        <w:spacing w:before="240" w:after="80"/>
        <w:rPr>
          <w:color w:val="000000"/>
          <w:sz w:val="20"/>
        </w:rPr>
      </w:pPr>
      <w:r w:rsidRPr="00620102">
        <w:rPr>
          <w:color w:val="000000"/>
          <w:sz w:val="20"/>
        </w:rPr>
        <w:lastRenderedPageBreak/>
        <w:t xml:space="preserve">Dias-neto, J.; Oliveira, G.M.; Santos, G.C.B. Comportamento da produção total e por estado, frota permissionada e balança comercial da sardinha-verdadeira. </w:t>
      </w:r>
      <w:r w:rsidRPr="00620102">
        <w:rPr>
          <w:b/>
          <w:bCs/>
          <w:color w:val="000000"/>
          <w:sz w:val="20"/>
        </w:rPr>
        <w:t>Revista CEPSUL - Biodiversidade e Conservação Marinha</w:t>
      </w:r>
      <w:r w:rsidRPr="00620102">
        <w:rPr>
          <w:color w:val="000000"/>
          <w:sz w:val="20"/>
        </w:rPr>
        <w:t xml:space="preserve">, v. 2, n. 1, p. 34 – 49, 2011. </w:t>
      </w:r>
    </w:p>
    <w:p w:rsidR="00A774C8" w:rsidRPr="00620102" w:rsidRDefault="00A774C8" w:rsidP="00620102">
      <w:pPr>
        <w:spacing w:before="240" w:after="80"/>
        <w:rPr>
          <w:sz w:val="20"/>
          <w:lang w:val="en-US"/>
        </w:rPr>
      </w:pPr>
      <w:r w:rsidRPr="00620102">
        <w:rPr>
          <w:sz w:val="20"/>
        </w:rPr>
        <w:t xml:space="preserve">Freón et al. </w:t>
      </w:r>
      <w:proofErr w:type="spellStart"/>
      <w:r w:rsidRPr="00620102">
        <w:rPr>
          <w:sz w:val="20"/>
          <w:lang w:val="en-US"/>
        </w:rPr>
        <w:t>CSustainable</w:t>
      </w:r>
      <w:proofErr w:type="spellEnd"/>
      <w:r w:rsidRPr="00620102">
        <w:rPr>
          <w:sz w:val="20"/>
          <w:lang w:val="en-US"/>
        </w:rPr>
        <w:t xml:space="preserve"> exploitation of small pelagic fish stocks challenged by environmental and ecosystem changes: a review. </w:t>
      </w:r>
      <w:r w:rsidRPr="00620102">
        <w:rPr>
          <w:b/>
          <w:sz w:val="20"/>
          <w:lang w:val="en-US"/>
        </w:rPr>
        <w:t>Bulletin of Marine Science</w:t>
      </w:r>
      <w:r w:rsidRPr="00620102">
        <w:rPr>
          <w:sz w:val="20"/>
          <w:lang w:val="en-US"/>
        </w:rPr>
        <w:t xml:space="preserve">, 2005.76: 385–462. </w:t>
      </w:r>
    </w:p>
    <w:p w:rsidR="00A774C8" w:rsidRPr="00620102" w:rsidRDefault="00A774C8" w:rsidP="00620102">
      <w:pPr>
        <w:spacing w:before="240" w:after="80"/>
        <w:rPr>
          <w:color w:val="000000"/>
          <w:sz w:val="20"/>
        </w:rPr>
      </w:pPr>
      <w:proofErr w:type="spellStart"/>
      <w:r w:rsidRPr="00620102">
        <w:rPr>
          <w:color w:val="000000"/>
          <w:sz w:val="20"/>
          <w:lang w:val="en-US"/>
        </w:rPr>
        <w:t>Gigliotti</w:t>
      </w:r>
      <w:proofErr w:type="spellEnd"/>
      <w:r w:rsidRPr="00620102">
        <w:rPr>
          <w:color w:val="000000"/>
          <w:sz w:val="20"/>
          <w:lang w:val="en-US"/>
        </w:rPr>
        <w:t xml:space="preserve"> et al</w:t>
      </w:r>
      <w:proofErr w:type="gramStart"/>
      <w:r w:rsidRPr="00620102">
        <w:rPr>
          <w:color w:val="000000"/>
          <w:sz w:val="20"/>
          <w:lang w:val="en-US"/>
        </w:rPr>
        <w:t>,.</w:t>
      </w:r>
      <w:proofErr w:type="gramEnd"/>
      <w:r w:rsidRPr="00620102">
        <w:rPr>
          <w:color w:val="000000"/>
          <w:sz w:val="20"/>
          <w:lang w:val="en-US"/>
        </w:rPr>
        <w:t xml:space="preserve"> Spatial analysis of egg distribution and geographic changes in the spawning habitat of the Brazilian sardine </w:t>
      </w:r>
      <w:proofErr w:type="spellStart"/>
      <w:r w:rsidRPr="00620102">
        <w:rPr>
          <w:i/>
          <w:iCs/>
          <w:color w:val="000000"/>
          <w:sz w:val="20"/>
          <w:lang w:val="en-US"/>
        </w:rPr>
        <w:t>Sardinella</w:t>
      </w:r>
      <w:proofErr w:type="spellEnd"/>
      <w:r w:rsidRPr="00620102">
        <w:rPr>
          <w:i/>
          <w:iCs/>
          <w:color w:val="000000"/>
          <w:sz w:val="20"/>
          <w:lang w:val="en-US"/>
        </w:rPr>
        <w:t xml:space="preserve"> </w:t>
      </w:r>
      <w:proofErr w:type="spellStart"/>
      <w:r w:rsidRPr="00620102">
        <w:rPr>
          <w:i/>
          <w:iCs/>
          <w:color w:val="000000"/>
          <w:sz w:val="20"/>
          <w:lang w:val="en-US"/>
        </w:rPr>
        <w:t>brasiliensis</w:t>
      </w:r>
      <w:proofErr w:type="spellEnd"/>
      <w:r w:rsidRPr="00620102">
        <w:rPr>
          <w:color w:val="000000"/>
          <w:sz w:val="20"/>
          <w:lang w:val="en-US"/>
        </w:rPr>
        <w:t xml:space="preserve">. </w:t>
      </w:r>
      <w:r w:rsidRPr="00620102">
        <w:rPr>
          <w:b/>
          <w:bCs/>
          <w:color w:val="000000"/>
          <w:sz w:val="20"/>
        </w:rPr>
        <w:t>Journal of Fish Biology</w:t>
      </w:r>
      <w:r w:rsidRPr="00620102">
        <w:rPr>
          <w:color w:val="000000"/>
          <w:sz w:val="20"/>
        </w:rPr>
        <w:t xml:space="preserve">, 2010. v. 77, p. 2248 – 2267. </w:t>
      </w:r>
    </w:p>
    <w:p w:rsidR="00A774C8" w:rsidRPr="00620102" w:rsidRDefault="00A774C8" w:rsidP="00620102">
      <w:pPr>
        <w:pStyle w:val="FrameContents"/>
        <w:tabs>
          <w:tab w:val="left" w:pos="1304"/>
          <w:tab w:val="center" w:pos="1372"/>
        </w:tabs>
        <w:spacing w:before="240" w:after="80" w:line="240" w:lineRule="auto"/>
        <w:rPr>
          <w:rFonts w:ascii="Times New Roman" w:hAnsi="Times New Roman"/>
          <w:sz w:val="20"/>
          <w:szCs w:val="20"/>
        </w:rPr>
      </w:pPr>
      <w:r w:rsidRPr="00620102">
        <w:rPr>
          <w:rFonts w:ascii="Times New Roman" w:hAnsi="Times New Roman"/>
          <w:sz w:val="20"/>
          <w:szCs w:val="20"/>
        </w:rPr>
        <w:t xml:space="preserve">Gouveia, MB. </w:t>
      </w:r>
      <w:r w:rsidRPr="00620102">
        <w:rPr>
          <w:rFonts w:ascii="Times New Roman" w:hAnsi="Times New Roman"/>
          <w:b/>
          <w:sz w:val="20"/>
          <w:szCs w:val="20"/>
        </w:rPr>
        <w:t>A influência dos processos de circulação oceânica nos extremos de produção comercial da sardinha verdadeira</w:t>
      </w:r>
      <w:r w:rsidRPr="00620102">
        <w:rPr>
          <w:rFonts w:ascii="Times New Roman" w:hAnsi="Times New Roman"/>
          <w:sz w:val="20"/>
          <w:szCs w:val="20"/>
        </w:rPr>
        <w:t>. Dissertação (Mestrado em Sensoriamento Remoto) - Instituto Nacional de Pesquisas Espaciais, São José dos Campos, 2015.</w:t>
      </w:r>
    </w:p>
    <w:p w:rsidR="00A774C8" w:rsidRPr="00620102" w:rsidRDefault="00A774C8" w:rsidP="00620102">
      <w:pPr>
        <w:spacing w:before="240" w:after="80"/>
        <w:rPr>
          <w:color w:val="000000"/>
          <w:sz w:val="20"/>
          <w:lang w:val="en-US"/>
        </w:rPr>
      </w:pPr>
      <w:proofErr w:type="spellStart"/>
      <w:r w:rsidRPr="00620102">
        <w:rPr>
          <w:sz w:val="20"/>
          <w:lang w:val="en-US"/>
        </w:rPr>
        <w:t>Hugget</w:t>
      </w:r>
      <w:proofErr w:type="spellEnd"/>
      <w:r w:rsidRPr="00620102">
        <w:rPr>
          <w:sz w:val="20"/>
          <w:lang w:val="en-US"/>
        </w:rPr>
        <w:t xml:space="preserve"> et al. </w:t>
      </w:r>
      <w:proofErr w:type="gramStart"/>
      <w:r w:rsidRPr="00620102">
        <w:rPr>
          <w:color w:val="000000"/>
          <w:sz w:val="20"/>
          <w:lang w:val="en-US"/>
        </w:rPr>
        <w:t>Modelling</w:t>
      </w:r>
      <w:proofErr w:type="gramEnd"/>
      <w:r w:rsidRPr="00620102">
        <w:rPr>
          <w:color w:val="000000"/>
          <w:sz w:val="20"/>
          <w:lang w:val="en-US"/>
        </w:rPr>
        <w:t xml:space="preserve"> the transport success of anchovy </w:t>
      </w:r>
      <w:proofErr w:type="spellStart"/>
      <w:r w:rsidRPr="00620102">
        <w:rPr>
          <w:i/>
          <w:iCs/>
          <w:color w:val="000000"/>
          <w:sz w:val="20"/>
          <w:lang w:val="en-US"/>
        </w:rPr>
        <w:t>Engraulis</w:t>
      </w:r>
      <w:proofErr w:type="spellEnd"/>
      <w:r w:rsidRPr="00620102">
        <w:rPr>
          <w:i/>
          <w:iCs/>
          <w:color w:val="000000"/>
          <w:sz w:val="20"/>
          <w:lang w:val="en-US"/>
        </w:rPr>
        <w:t xml:space="preserve"> </w:t>
      </w:r>
      <w:proofErr w:type="spellStart"/>
      <w:r w:rsidRPr="00620102">
        <w:rPr>
          <w:i/>
          <w:iCs/>
          <w:color w:val="000000"/>
          <w:sz w:val="20"/>
          <w:lang w:val="en-US"/>
        </w:rPr>
        <w:t>encrasicolus</w:t>
      </w:r>
      <w:proofErr w:type="spellEnd"/>
      <w:r w:rsidRPr="00620102">
        <w:rPr>
          <w:i/>
          <w:iCs/>
          <w:color w:val="000000"/>
          <w:sz w:val="20"/>
          <w:lang w:val="en-US"/>
        </w:rPr>
        <w:t xml:space="preserve"> </w:t>
      </w:r>
      <w:r w:rsidRPr="00620102">
        <w:rPr>
          <w:color w:val="000000"/>
          <w:sz w:val="20"/>
          <w:lang w:val="en-US"/>
        </w:rPr>
        <w:t xml:space="preserve">eggs and larvae in the southern </w:t>
      </w:r>
      <w:proofErr w:type="spellStart"/>
      <w:r w:rsidRPr="00620102">
        <w:rPr>
          <w:color w:val="000000"/>
          <w:sz w:val="20"/>
          <w:lang w:val="en-US"/>
        </w:rPr>
        <w:t>Benguela</w:t>
      </w:r>
      <w:proofErr w:type="spellEnd"/>
      <w:r w:rsidRPr="00620102">
        <w:rPr>
          <w:color w:val="000000"/>
          <w:sz w:val="20"/>
          <w:lang w:val="en-US"/>
        </w:rPr>
        <w:t xml:space="preserve">: the effect to </w:t>
      </w:r>
      <w:proofErr w:type="spellStart"/>
      <w:r w:rsidRPr="00620102">
        <w:rPr>
          <w:color w:val="000000"/>
          <w:sz w:val="20"/>
          <w:lang w:val="en-US"/>
        </w:rPr>
        <w:t>spatio</w:t>
      </w:r>
      <w:proofErr w:type="spellEnd"/>
      <w:r w:rsidRPr="00620102">
        <w:rPr>
          <w:color w:val="000000"/>
          <w:sz w:val="20"/>
          <w:lang w:val="en-US"/>
        </w:rPr>
        <w:t xml:space="preserve">-temporal spawning patterns. </w:t>
      </w:r>
      <w:r w:rsidRPr="00620102">
        <w:rPr>
          <w:b/>
          <w:bCs/>
          <w:color w:val="000000"/>
          <w:sz w:val="20"/>
          <w:lang w:val="en-US"/>
        </w:rPr>
        <w:t xml:space="preserve">Marine Ecology Progress Series, </w:t>
      </w:r>
      <w:r w:rsidRPr="00620102">
        <w:rPr>
          <w:color w:val="000000"/>
          <w:sz w:val="20"/>
          <w:lang w:val="en-US"/>
        </w:rPr>
        <w:t>2003.v. 250, p. 247–262.</w:t>
      </w:r>
    </w:p>
    <w:p w:rsidR="00A774C8" w:rsidRPr="00620102" w:rsidRDefault="00A774C8" w:rsidP="00620102">
      <w:pPr>
        <w:spacing w:before="240" w:after="80"/>
        <w:rPr>
          <w:sz w:val="20"/>
          <w:lang w:val="en-US"/>
        </w:rPr>
      </w:pPr>
      <w:proofErr w:type="spellStart"/>
      <w:r w:rsidRPr="00620102">
        <w:rPr>
          <w:sz w:val="20"/>
          <w:lang w:val="en-US"/>
        </w:rPr>
        <w:t>Ibaibariaga</w:t>
      </w:r>
      <w:proofErr w:type="spellEnd"/>
      <w:r w:rsidRPr="00620102">
        <w:rPr>
          <w:sz w:val="20"/>
          <w:lang w:val="en-US"/>
        </w:rPr>
        <w:t xml:space="preserve"> et al</w:t>
      </w:r>
      <w:r w:rsidRPr="00620102">
        <w:rPr>
          <w:color w:val="000000"/>
          <w:sz w:val="20"/>
          <w:lang w:val="en-US"/>
        </w:rPr>
        <w:t xml:space="preserve">. Egg and larvae distribution of seven fish species in the north-east </w:t>
      </w:r>
      <w:proofErr w:type="spellStart"/>
      <w:proofErr w:type="gramStart"/>
      <w:r w:rsidRPr="00620102">
        <w:rPr>
          <w:color w:val="000000"/>
          <w:sz w:val="20"/>
          <w:lang w:val="en-US"/>
        </w:rPr>
        <w:t>atlantic</w:t>
      </w:r>
      <w:proofErr w:type="spellEnd"/>
      <w:proofErr w:type="gramEnd"/>
      <w:r w:rsidRPr="00620102">
        <w:rPr>
          <w:color w:val="000000"/>
          <w:sz w:val="20"/>
          <w:lang w:val="en-US"/>
        </w:rPr>
        <w:t xml:space="preserve"> waters. </w:t>
      </w:r>
      <w:r w:rsidRPr="00620102">
        <w:rPr>
          <w:b/>
          <w:bCs/>
          <w:color w:val="000000"/>
          <w:sz w:val="20"/>
          <w:lang w:val="en-US"/>
        </w:rPr>
        <w:t>Fisheries Oceanography</w:t>
      </w:r>
      <w:r w:rsidRPr="00620102">
        <w:rPr>
          <w:color w:val="000000"/>
          <w:sz w:val="20"/>
          <w:lang w:val="en-US"/>
        </w:rPr>
        <w:t xml:space="preserve">, 2007.v. 16, n.3, p. 284-293. </w:t>
      </w:r>
    </w:p>
    <w:p w:rsidR="00A774C8" w:rsidRPr="00620102" w:rsidRDefault="00A774C8" w:rsidP="00620102">
      <w:pPr>
        <w:spacing w:before="240" w:after="80"/>
        <w:rPr>
          <w:color w:val="000000"/>
          <w:sz w:val="20"/>
          <w:lang w:val="en-US"/>
        </w:rPr>
      </w:pPr>
      <w:proofErr w:type="spellStart"/>
      <w:r w:rsidRPr="00620102">
        <w:rPr>
          <w:sz w:val="20"/>
          <w:lang w:val="en-US"/>
        </w:rPr>
        <w:t>Jenkinson</w:t>
      </w:r>
      <w:proofErr w:type="spellEnd"/>
      <w:r w:rsidRPr="00620102">
        <w:rPr>
          <w:sz w:val="20"/>
          <w:lang w:val="en-US"/>
        </w:rPr>
        <w:t xml:space="preserve">, </w:t>
      </w:r>
      <w:r w:rsidRPr="00620102">
        <w:rPr>
          <w:color w:val="000000"/>
          <w:sz w:val="20"/>
          <w:lang w:val="en-US"/>
        </w:rPr>
        <w:t xml:space="preserve">A. F. The frequency distribution of the annual maximum (or minimum) values of meteorological elements. </w:t>
      </w:r>
      <w:proofErr w:type="spellStart"/>
      <w:r w:rsidRPr="00620102">
        <w:rPr>
          <w:b/>
          <w:iCs/>
          <w:color w:val="000000"/>
          <w:sz w:val="20"/>
          <w:lang w:val="en-US"/>
        </w:rPr>
        <w:t>Quaterly</w:t>
      </w:r>
      <w:proofErr w:type="spellEnd"/>
      <w:r w:rsidRPr="00620102">
        <w:rPr>
          <w:b/>
          <w:iCs/>
          <w:color w:val="000000"/>
          <w:sz w:val="20"/>
          <w:lang w:val="en-US"/>
        </w:rPr>
        <w:t xml:space="preserve"> Journal of the Royal Meteorological Society</w:t>
      </w:r>
      <w:r w:rsidRPr="00620102">
        <w:rPr>
          <w:color w:val="000000"/>
          <w:sz w:val="20"/>
          <w:lang w:val="en-US"/>
        </w:rPr>
        <w:t xml:space="preserve">, Reading, 1955.v. 81, n. 348, p. 158-171. </w:t>
      </w:r>
    </w:p>
    <w:p w:rsidR="00A774C8" w:rsidRPr="00620102" w:rsidRDefault="00A774C8" w:rsidP="00620102">
      <w:pPr>
        <w:spacing w:before="240" w:after="80"/>
        <w:rPr>
          <w:color w:val="000000"/>
          <w:sz w:val="20"/>
          <w:lang w:val="en-US"/>
        </w:rPr>
      </w:pPr>
      <w:proofErr w:type="spellStart"/>
      <w:r w:rsidRPr="00620102">
        <w:rPr>
          <w:color w:val="000000"/>
          <w:sz w:val="20"/>
          <w:lang w:val="en-US"/>
        </w:rPr>
        <w:t>Mbaye</w:t>
      </w:r>
      <w:proofErr w:type="spellEnd"/>
      <w:r w:rsidRPr="00620102">
        <w:rPr>
          <w:color w:val="000000"/>
          <w:sz w:val="20"/>
          <w:lang w:val="en-US"/>
        </w:rPr>
        <w:t xml:space="preserve"> et al. </w:t>
      </w:r>
      <w:proofErr w:type="spellStart"/>
      <w:r w:rsidRPr="00620102">
        <w:rPr>
          <w:color w:val="000000"/>
          <w:sz w:val="20"/>
          <w:lang w:val="en-US"/>
        </w:rPr>
        <w:t>Sardinella</w:t>
      </w:r>
      <w:proofErr w:type="spellEnd"/>
      <w:r w:rsidRPr="00620102">
        <w:rPr>
          <w:color w:val="000000"/>
          <w:sz w:val="20"/>
          <w:lang w:val="en-US"/>
        </w:rPr>
        <w:t xml:space="preserve"> </w:t>
      </w:r>
      <w:proofErr w:type="spellStart"/>
      <w:r w:rsidRPr="00620102">
        <w:rPr>
          <w:color w:val="000000"/>
          <w:sz w:val="20"/>
          <w:lang w:val="en-US"/>
        </w:rPr>
        <w:t>aurita</w:t>
      </w:r>
      <w:proofErr w:type="spellEnd"/>
      <w:r w:rsidRPr="00620102">
        <w:rPr>
          <w:color w:val="000000"/>
          <w:sz w:val="20"/>
          <w:lang w:val="en-US"/>
        </w:rPr>
        <w:t xml:space="preserve"> spawning seasons match local retention patterns in the Senegalese–Mauritanian upwelling region. </w:t>
      </w:r>
      <w:r w:rsidRPr="00620102">
        <w:rPr>
          <w:b/>
          <w:color w:val="000000"/>
          <w:sz w:val="20"/>
          <w:lang w:val="en-US"/>
        </w:rPr>
        <w:t>Fisheries Oceanography,</w:t>
      </w:r>
      <w:r w:rsidRPr="00620102">
        <w:rPr>
          <w:color w:val="000000"/>
          <w:sz w:val="20"/>
          <w:lang w:val="en-US"/>
        </w:rPr>
        <w:t xml:space="preserve"> 2015.v. 24, p. 69–89. </w:t>
      </w:r>
    </w:p>
    <w:p w:rsidR="00A774C8" w:rsidRPr="00620102" w:rsidRDefault="00A774C8" w:rsidP="00620102">
      <w:pPr>
        <w:spacing w:before="240" w:after="80"/>
        <w:rPr>
          <w:sz w:val="20"/>
        </w:rPr>
      </w:pPr>
      <w:r w:rsidRPr="00620102">
        <w:rPr>
          <w:sz w:val="20"/>
          <w:lang w:val="en-US"/>
        </w:rPr>
        <w:t xml:space="preserve">Matsuura, </w:t>
      </w:r>
      <w:r w:rsidRPr="00620102">
        <w:rPr>
          <w:color w:val="000000"/>
          <w:sz w:val="20"/>
          <w:lang w:val="en-US"/>
        </w:rPr>
        <w:t xml:space="preserve">Y. </w:t>
      </w:r>
      <w:r w:rsidRPr="00620102">
        <w:rPr>
          <w:bCs/>
          <w:color w:val="000000"/>
          <w:sz w:val="20"/>
          <w:lang w:val="en-US"/>
        </w:rPr>
        <w:t xml:space="preserve">A probable cause of recruitment failure of the Brazilian sardine, </w:t>
      </w:r>
      <w:proofErr w:type="spellStart"/>
      <w:r w:rsidRPr="00620102">
        <w:rPr>
          <w:bCs/>
          <w:color w:val="000000"/>
          <w:sz w:val="20"/>
          <w:lang w:val="en-US"/>
        </w:rPr>
        <w:t>S</w:t>
      </w:r>
      <w:r w:rsidRPr="00620102">
        <w:rPr>
          <w:bCs/>
          <w:i/>
          <w:iCs/>
          <w:color w:val="000000"/>
          <w:sz w:val="20"/>
          <w:lang w:val="en-US"/>
        </w:rPr>
        <w:t>ardinella</w:t>
      </w:r>
      <w:proofErr w:type="spellEnd"/>
      <w:r w:rsidRPr="00620102">
        <w:rPr>
          <w:bCs/>
          <w:i/>
          <w:iCs/>
          <w:color w:val="000000"/>
          <w:sz w:val="20"/>
          <w:lang w:val="en-US"/>
        </w:rPr>
        <w:t xml:space="preserve"> </w:t>
      </w:r>
      <w:proofErr w:type="spellStart"/>
      <w:r w:rsidRPr="00620102">
        <w:rPr>
          <w:bCs/>
          <w:i/>
          <w:iCs/>
          <w:color w:val="000000"/>
          <w:sz w:val="20"/>
          <w:lang w:val="en-US"/>
        </w:rPr>
        <w:t>aurita</w:t>
      </w:r>
      <w:proofErr w:type="spellEnd"/>
      <w:r w:rsidRPr="00620102">
        <w:rPr>
          <w:bCs/>
          <w:i/>
          <w:iCs/>
          <w:color w:val="000000"/>
          <w:sz w:val="20"/>
          <w:lang w:val="en-US"/>
        </w:rPr>
        <w:t xml:space="preserve"> </w:t>
      </w:r>
      <w:r w:rsidRPr="00620102">
        <w:rPr>
          <w:bCs/>
          <w:color w:val="000000"/>
          <w:sz w:val="20"/>
          <w:lang w:val="en-US"/>
        </w:rPr>
        <w:t>population during the 1974/75 spawning seasons</w:t>
      </w:r>
      <w:r w:rsidRPr="00620102">
        <w:rPr>
          <w:b/>
          <w:bCs/>
          <w:color w:val="000000"/>
          <w:sz w:val="20"/>
          <w:lang w:val="en-US"/>
        </w:rPr>
        <w:t xml:space="preserve">. </w:t>
      </w:r>
      <w:r w:rsidRPr="00620102">
        <w:rPr>
          <w:color w:val="000000"/>
          <w:sz w:val="20"/>
        </w:rPr>
        <w:t xml:space="preserve">S. Afr. </w:t>
      </w:r>
      <w:r w:rsidRPr="00620102">
        <w:rPr>
          <w:b/>
          <w:color w:val="000000"/>
          <w:sz w:val="20"/>
        </w:rPr>
        <w:t>J. mar. Sci</w:t>
      </w:r>
      <w:r w:rsidRPr="00620102">
        <w:rPr>
          <w:color w:val="000000"/>
          <w:sz w:val="20"/>
        </w:rPr>
        <w:t xml:space="preserve">., 1996.v. 17, p. 29-35. </w:t>
      </w:r>
    </w:p>
    <w:p w:rsidR="00A774C8" w:rsidRPr="00620102" w:rsidRDefault="00A774C8" w:rsidP="00620102">
      <w:pPr>
        <w:spacing w:before="240" w:after="80"/>
        <w:rPr>
          <w:color w:val="000000"/>
          <w:sz w:val="20"/>
          <w:lang w:val="en-US"/>
        </w:rPr>
      </w:pPr>
      <w:r w:rsidRPr="00620102">
        <w:rPr>
          <w:color w:val="000000"/>
          <w:sz w:val="20"/>
        </w:rPr>
        <w:t xml:space="preserve">Matsuura, Y. Contribuição ao estudo da estrutura oceanográfica da região sudeste entre Cabo Frio (RJ) e Cabo Santa Marta Grande (SC). </w:t>
      </w:r>
      <w:proofErr w:type="spellStart"/>
      <w:r w:rsidRPr="00620102">
        <w:rPr>
          <w:b/>
          <w:color w:val="000000"/>
          <w:sz w:val="20"/>
          <w:lang w:val="en-US"/>
        </w:rPr>
        <w:t>Ciênc</w:t>
      </w:r>
      <w:proofErr w:type="spellEnd"/>
      <w:r w:rsidRPr="00620102">
        <w:rPr>
          <w:b/>
          <w:color w:val="000000"/>
          <w:sz w:val="20"/>
          <w:lang w:val="en-US"/>
        </w:rPr>
        <w:t>. Cult, São Paulo</w:t>
      </w:r>
      <w:r w:rsidRPr="00620102">
        <w:rPr>
          <w:color w:val="000000"/>
          <w:sz w:val="20"/>
          <w:lang w:val="en-US"/>
        </w:rPr>
        <w:t>, 1986.v. 38, n. 8, p. 1439 – 1450.</w:t>
      </w:r>
    </w:p>
    <w:p w:rsidR="00A774C8" w:rsidRPr="00620102" w:rsidRDefault="00A774C8" w:rsidP="00620102">
      <w:pPr>
        <w:spacing w:before="240" w:after="80"/>
        <w:rPr>
          <w:sz w:val="20"/>
          <w:lang w:val="en-US"/>
        </w:rPr>
      </w:pPr>
      <w:r w:rsidRPr="00620102">
        <w:rPr>
          <w:sz w:val="20"/>
          <w:lang w:val="en-US"/>
        </w:rPr>
        <w:t xml:space="preserve">Matsuura, Y. A study of the life history of Brazilian sardine, </w:t>
      </w:r>
      <w:proofErr w:type="spellStart"/>
      <w:r w:rsidRPr="00620102">
        <w:rPr>
          <w:i/>
          <w:iCs/>
          <w:sz w:val="20"/>
          <w:lang w:val="en-US"/>
        </w:rPr>
        <w:t>Sardinella</w:t>
      </w:r>
      <w:proofErr w:type="spellEnd"/>
      <w:r w:rsidRPr="00620102">
        <w:rPr>
          <w:i/>
          <w:iCs/>
          <w:sz w:val="20"/>
          <w:lang w:val="en-US"/>
        </w:rPr>
        <w:t xml:space="preserve"> </w:t>
      </w:r>
      <w:proofErr w:type="spellStart"/>
      <w:r w:rsidRPr="00620102">
        <w:rPr>
          <w:i/>
          <w:iCs/>
          <w:sz w:val="20"/>
          <w:lang w:val="en-US"/>
        </w:rPr>
        <w:t>brasiliensis</w:t>
      </w:r>
      <w:proofErr w:type="spellEnd"/>
      <w:r w:rsidRPr="00620102">
        <w:rPr>
          <w:sz w:val="20"/>
          <w:lang w:val="en-US"/>
        </w:rPr>
        <w:t xml:space="preserve">. IV. Distribution and abundance of sardine larvae. </w:t>
      </w:r>
      <w:proofErr w:type="spellStart"/>
      <w:r w:rsidRPr="00620102">
        <w:rPr>
          <w:b/>
          <w:sz w:val="20"/>
          <w:lang w:val="en-US"/>
        </w:rPr>
        <w:t>Bolm</w:t>
      </w:r>
      <w:proofErr w:type="spellEnd"/>
      <w:r w:rsidRPr="00620102">
        <w:rPr>
          <w:b/>
          <w:sz w:val="20"/>
          <w:lang w:val="en-US"/>
        </w:rPr>
        <w:t xml:space="preserve">. Inst. </w:t>
      </w:r>
      <w:proofErr w:type="spellStart"/>
      <w:r w:rsidRPr="00620102">
        <w:rPr>
          <w:b/>
          <w:sz w:val="20"/>
          <w:lang w:val="en-US"/>
        </w:rPr>
        <w:t>oceanogr</w:t>
      </w:r>
      <w:proofErr w:type="spellEnd"/>
      <w:r w:rsidRPr="00620102">
        <w:rPr>
          <w:b/>
          <w:sz w:val="20"/>
          <w:lang w:val="en-US"/>
        </w:rPr>
        <w:t>. São Paulo</w:t>
      </w:r>
      <w:r w:rsidRPr="00620102">
        <w:rPr>
          <w:sz w:val="20"/>
          <w:lang w:val="en-US"/>
        </w:rPr>
        <w:t xml:space="preserve">, 1977b.v. 26, p. 219 – 247. </w:t>
      </w:r>
    </w:p>
    <w:p w:rsidR="00A774C8" w:rsidRPr="00620102" w:rsidRDefault="00A774C8" w:rsidP="00620102">
      <w:pPr>
        <w:spacing w:before="240" w:after="80"/>
        <w:rPr>
          <w:sz w:val="20"/>
          <w:lang w:val="en-US"/>
        </w:rPr>
      </w:pPr>
      <w:r w:rsidRPr="00620102">
        <w:rPr>
          <w:sz w:val="20"/>
          <w:lang w:val="en-US"/>
        </w:rPr>
        <w:t>Peck et al. Intrinsic and extrinsic factors driving match-</w:t>
      </w:r>
      <w:r w:rsidRPr="00620102">
        <w:rPr>
          <w:i/>
          <w:iCs/>
          <w:sz w:val="20"/>
          <w:lang w:val="en-US"/>
        </w:rPr>
        <w:t xml:space="preserve"> </w:t>
      </w:r>
      <w:r w:rsidRPr="00620102">
        <w:rPr>
          <w:sz w:val="20"/>
          <w:lang w:val="en-US"/>
        </w:rPr>
        <w:t xml:space="preserve">mismatch dynamics during the early life history of marine fishes. </w:t>
      </w:r>
      <w:r w:rsidRPr="00620102">
        <w:rPr>
          <w:b/>
          <w:sz w:val="20"/>
          <w:lang w:val="en-US"/>
        </w:rPr>
        <w:t>Advances in</w:t>
      </w:r>
      <w:r w:rsidRPr="00620102">
        <w:rPr>
          <w:b/>
          <w:i/>
          <w:iCs/>
          <w:sz w:val="20"/>
          <w:lang w:val="en-US"/>
        </w:rPr>
        <w:t xml:space="preserve"> </w:t>
      </w:r>
      <w:proofErr w:type="spellStart"/>
      <w:r w:rsidRPr="00620102">
        <w:rPr>
          <w:b/>
          <w:sz w:val="20"/>
          <w:lang w:val="en-US"/>
        </w:rPr>
        <w:t>Ecolological</w:t>
      </w:r>
      <w:proofErr w:type="spellEnd"/>
      <w:r w:rsidRPr="00620102">
        <w:rPr>
          <w:b/>
          <w:sz w:val="20"/>
          <w:lang w:val="en-US"/>
        </w:rPr>
        <w:t xml:space="preserve"> Research</w:t>
      </w:r>
      <w:r w:rsidRPr="00620102">
        <w:rPr>
          <w:sz w:val="20"/>
          <w:lang w:val="en-US"/>
        </w:rPr>
        <w:t>. 2012; 47: 177–302.</w:t>
      </w:r>
    </w:p>
    <w:p w:rsidR="00A774C8" w:rsidRPr="00620102" w:rsidRDefault="00A774C8" w:rsidP="00620102">
      <w:pPr>
        <w:spacing w:before="240" w:after="80"/>
        <w:rPr>
          <w:color w:val="000000"/>
          <w:sz w:val="20"/>
          <w:lang w:val="en-US"/>
        </w:rPr>
      </w:pPr>
      <w:proofErr w:type="spellStart"/>
      <w:r w:rsidRPr="00620102">
        <w:rPr>
          <w:sz w:val="20"/>
          <w:lang w:val="en-US"/>
        </w:rPr>
        <w:t>Planque</w:t>
      </w:r>
      <w:proofErr w:type="spellEnd"/>
      <w:r w:rsidRPr="00620102">
        <w:rPr>
          <w:sz w:val="20"/>
          <w:lang w:val="en-US"/>
        </w:rPr>
        <w:t xml:space="preserve"> et al</w:t>
      </w:r>
      <w:r w:rsidRPr="00620102">
        <w:rPr>
          <w:color w:val="000000"/>
          <w:sz w:val="20"/>
          <w:lang w:val="en-US"/>
        </w:rPr>
        <w:t xml:space="preserve">. </w:t>
      </w:r>
      <w:proofErr w:type="gramStart"/>
      <w:r w:rsidRPr="00620102">
        <w:rPr>
          <w:color w:val="000000"/>
          <w:sz w:val="20"/>
          <w:lang w:val="en-US"/>
        </w:rPr>
        <w:t>Modelling</w:t>
      </w:r>
      <w:proofErr w:type="gramEnd"/>
      <w:r w:rsidRPr="00620102">
        <w:rPr>
          <w:color w:val="000000"/>
          <w:sz w:val="20"/>
          <w:lang w:val="en-US"/>
        </w:rPr>
        <w:t xml:space="preserve"> potential </w:t>
      </w:r>
      <w:proofErr w:type="spellStart"/>
      <w:r w:rsidRPr="00620102">
        <w:rPr>
          <w:color w:val="000000"/>
          <w:sz w:val="20"/>
          <w:lang w:val="en-US"/>
        </w:rPr>
        <w:t>spawing</w:t>
      </w:r>
      <w:proofErr w:type="spellEnd"/>
      <w:r w:rsidRPr="00620102">
        <w:rPr>
          <w:color w:val="000000"/>
          <w:sz w:val="20"/>
          <w:lang w:val="en-US"/>
        </w:rPr>
        <w:t xml:space="preserve"> habitat of sardine (</w:t>
      </w:r>
      <w:r w:rsidRPr="00620102">
        <w:rPr>
          <w:i/>
          <w:iCs/>
          <w:color w:val="000000"/>
          <w:sz w:val="20"/>
          <w:lang w:val="en-US"/>
        </w:rPr>
        <w:t xml:space="preserve">Sardine </w:t>
      </w:r>
      <w:proofErr w:type="spellStart"/>
      <w:r w:rsidRPr="00620102">
        <w:rPr>
          <w:i/>
          <w:iCs/>
          <w:color w:val="000000"/>
          <w:sz w:val="20"/>
          <w:lang w:val="en-US"/>
        </w:rPr>
        <w:t>pilchardus</w:t>
      </w:r>
      <w:proofErr w:type="spellEnd"/>
      <w:r w:rsidRPr="00620102">
        <w:rPr>
          <w:color w:val="000000"/>
          <w:sz w:val="20"/>
          <w:lang w:val="en-US"/>
        </w:rPr>
        <w:t>) and anchovy (</w:t>
      </w:r>
      <w:proofErr w:type="spellStart"/>
      <w:r w:rsidRPr="00620102">
        <w:rPr>
          <w:i/>
          <w:iCs/>
          <w:color w:val="000000"/>
          <w:sz w:val="20"/>
          <w:lang w:val="en-US"/>
        </w:rPr>
        <w:t>Engraulis</w:t>
      </w:r>
      <w:proofErr w:type="spellEnd"/>
      <w:r w:rsidRPr="00620102">
        <w:rPr>
          <w:i/>
          <w:iCs/>
          <w:color w:val="000000"/>
          <w:sz w:val="20"/>
          <w:lang w:val="en-US"/>
        </w:rPr>
        <w:t xml:space="preserve"> </w:t>
      </w:r>
      <w:proofErr w:type="spellStart"/>
      <w:r w:rsidRPr="00620102">
        <w:rPr>
          <w:i/>
          <w:iCs/>
          <w:color w:val="000000"/>
          <w:sz w:val="20"/>
          <w:lang w:val="en-US"/>
        </w:rPr>
        <w:t>encrasicolus</w:t>
      </w:r>
      <w:proofErr w:type="spellEnd"/>
      <w:r w:rsidRPr="00620102">
        <w:rPr>
          <w:color w:val="000000"/>
          <w:sz w:val="20"/>
          <w:lang w:val="en-US"/>
        </w:rPr>
        <w:t xml:space="preserve">) in the Bay of Biscay. </w:t>
      </w:r>
      <w:r w:rsidRPr="00620102">
        <w:rPr>
          <w:b/>
          <w:bCs/>
          <w:color w:val="000000"/>
          <w:sz w:val="20"/>
          <w:lang w:val="en-US"/>
        </w:rPr>
        <w:t>Fisheries Oceanography</w:t>
      </w:r>
      <w:r w:rsidRPr="00620102">
        <w:rPr>
          <w:color w:val="000000"/>
          <w:sz w:val="20"/>
          <w:lang w:val="en-US"/>
        </w:rPr>
        <w:t xml:space="preserve">, 2007.v. 16, n. 1, p. 16-30. </w:t>
      </w:r>
    </w:p>
    <w:p w:rsidR="00A774C8" w:rsidRPr="00620102" w:rsidRDefault="00A774C8" w:rsidP="00620102">
      <w:pPr>
        <w:spacing w:before="240" w:after="80"/>
        <w:rPr>
          <w:sz w:val="20"/>
          <w:lang w:val="en-US"/>
        </w:rPr>
      </w:pPr>
      <w:proofErr w:type="spellStart"/>
      <w:r w:rsidRPr="00620102">
        <w:rPr>
          <w:sz w:val="20"/>
          <w:lang w:val="en-US"/>
        </w:rPr>
        <w:t>Rijnsdorp</w:t>
      </w:r>
      <w:proofErr w:type="spellEnd"/>
      <w:r w:rsidRPr="00620102">
        <w:rPr>
          <w:sz w:val="20"/>
          <w:lang w:val="en-US"/>
        </w:rPr>
        <w:t xml:space="preserve"> et al. </w:t>
      </w:r>
      <w:proofErr w:type="gramStart"/>
      <w:r w:rsidRPr="00620102">
        <w:rPr>
          <w:sz w:val="20"/>
          <w:lang w:val="en-US"/>
        </w:rPr>
        <w:t>Resolving</w:t>
      </w:r>
      <w:proofErr w:type="gramEnd"/>
      <w:r w:rsidRPr="00620102">
        <w:rPr>
          <w:sz w:val="20"/>
          <w:lang w:val="en-US"/>
        </w:rPr>
        <w:t xml:space="preserve"> the effect of climate change on fish populations. – ICES </w:t>
      </w:r>
      <w:r w:rsidRPr="00620102">
        <w:rPr>
          <w:b/>
          <w:sz w:val="20"/>
          <w:lang w:val="en-US"/>
        </w:rPr>
        <w:t>Journal of Marine Science</w:t>
      </w:r>
      <w:r w:rsidRPr="00620102">
        <w:rPr>
          <w:sz w:val="20"/>
          <w:lang w:val="en-US"/>
        </w:rPr>
        <w:t xml:space="preserve">, 2009.66: 1570–1583. </w:t>
      </w:r>
    </w:p>
    <w:p w:rsidR="00A774C8" w:rsidRPr="00620102" w:rsidRDefault="00A774C8" w:rsidP="00620102">
      <w:pPr>
        <w:spacing w:before="240" w:after="80"/>
        <w:rPr>
          <w:rStyle w:val="fontstyle01"/>
          <w:rFonts w:ascii="Times New Roman" w:hAnsi="Times New Roman"/>
          <w:sz w:val="20"/>
          <w:szCs w:val="20"/>
          <w:lang w:val="en-US"/>
        </w:rPr>
      </w:pPr>
      <w:r w:rsidRPr="00620102">
        <w:rPr>
          <w:sz w:val="20"/>
          <w:lang w:val="en-US"/>
        </w:rPr>
        <w:t>Rose et al.</w:t>
      </w:r>
      <w:r w:rsidRPr="00620102">
        <w:rPr>
          <w:rStyle w:val="fontstyle21"/>
          <w:rFonts w:ascii="Times New Roman" w:hAnsi="Times New Roman"/>
          <w:sz w:val="20"/>
          <w:szCs w:val="20"/>
          <w:lang w:val="en-US"/>
        </w:rPr>
        <w:t xml:space="preserve"> </w:t>
      </w:r>
      <w:r w:rsidRPr="00620102">
        <w:rPr>
          <w:rStyle w:val="fontstyle01"/>
          <w:rFonts w:ascii="Times New Roman" w:hAnsi="Times New Roman"/>
          <w:sz w:val="20"/>
          <w:szCs w:val="20"/>
          <w:lang w:val="en-US"/>
        </w:rPr>
        <w:t>Demonstration of a fully-coupled end-to-end model for small pelagic fish using</w:t>
      </w:r>
      <w:r w:rsidRPr="00620102">
        <w:rPr>
          <w:rStyle w:val="fontstyle21"/>
          <w:rFonts w:ascii="Times New Roman" w:hAnsi="Times New Roman"/>
          <w:sz w:val="20"/>
          <w:szCs w:val="20"/>
          <w:lang w:val="en-US"/>
        </w:rPr>
        <w:t xml:space="preserve"> </w:t>
      </w:r>
      <w:r w:rsidRPr="00620102">
        <w:rPr>
          <w:rStyle w:val="fontstyle01"/>
          <w:rFonts w:ascii="Times New Roman" w:hAnsi="Times New Roman"/>
          <w:sz w:val="20"/>
          <w:szCs w:val="20"/>
          <w:lang w:val="en-US"/>
        </w:rPr>
        <w:t>sardine and anchovy in the California Current. Progress in Oceanography, 2015.</w:t>
      </w:r>
    </w:p>
    <w:p w:rsidR="00A774C8" w:rsidRPr="00620102" w:rsidRDefault="00A774C8" w:rsidP="00620102">
      <w:pPr>
        <w:spacing w:before="240" w:after="80"/>
        <w:rPr>
          <w:color w:val="000000"/>
          <w:sz w:val="20"/>
          <w:lang w:val="en-US"/>
        </w:rPr>
      </w:pPr>
      <w:proofErr w:type="spellStart"/>
      <w:r w:rsidRPr="00620102">
        <w:rPr>
          <w:color w:val="000000"/>
          <w:sz w:val="20"/>
          <w:lang w:val="en-US"/>
        </w:rPr>
        <w:t>Saha</w:t>
      </w:r>
      <w:proofErr w:type="spellEnd"/>
      <w:r w:rsidRPr="00620102">
        <w:rPr>
          <w:color w:val="000000"/>
          <w:sz w:val="20"/>
          <w:lang w:val="en-US"/>
        </w:rPr>
        <w:t xml:space="preserve"> et al. The NCEP Climate forecast system reanalysis. </w:t>
      </w:r>
      <w:r w:rsidRPr="00620102">
        <w:rPr>
          <w:b/>
          <w:bCs/>
          <w:color w:val="000000"/>
          <w:sz w:val="20"/>
          <w:lang w:val="en-US"/>
        </w:rPr>
        <w:t xml:space="preserve">Bulletin of American Meteorology Society, </w:t>
      </w:r>
      <w:r w:rsidRPr="00620102">
        <w:rPr>
          <w:color w:val="000000"/>
          <w:sz w:val="20"/>
          <w:lang w:val="en-US"/>
        </w:rPr>
        <w:t xml:space="preserve">2010.v. 91, p. 1015–1057. </w:t>
      </w:r>
    </w:p>
    <w:p w:rsidR="00A774C8" w:rsidRPr="00620102" w:rsidRDefault="00A774C8" w:rsidP="00620102">
      <w:pPr>
        <w:spacing w:before="240" w:after="80"/>
        <w:rPr>
          <w:color w:val="000000"/>
          <w:sz w:val="20"/>
        </w:rPr>
      </w:pPr>
      <w:r w:rsidRPr="00620102">
        <w:rPr>
          <w:color w:val="000000"/>
          <w:sz w:val="20"/>
        </w:rPr>
        <w:t>Silva, A. D’A</w:t>
      </w:r>
      <w:r w:rsidRPr="00620102">
        <w:rPr>
          <w:b/>
          <w:color w:val="000000"/>
          <w:sz w:val="20"/>
        </w:rPr>
        <w:t xml:space="preserve">. Determinação da conectividade de ambientes recifais utilizando modelagem biofísica. </w:t>
      </w:r>
      <w:r w:rsidRPr="00620102">
        <w:rPr>
          <w:color w:val="000000"/>
          <w:sz w:val="20"/>
        </w:rPr>
        <w:t xml:space="preserve"> Dissertação (Mestrado em Sensoriamento Remoto) - Instituto Nacional de Pesquisas Espaciais (INPE), São José dos Campos, 2014. </w:t>
      </w:r>
    </w:p>
    <w:p w:rsidR="00A774C8" w:rsidRPr="00620102" w:rsidRDefault="00A774C8" w:rsidP="00620102">
      <w:pPr>
        <w:spacing w:before="240" w:after="80"/>
        <w:rPr>
          <w:color w:val="000000"/>
          <w:sz w:val="20"/>
          <w:lang w:val="en-US"/>
        </w:rPr>
      </w:pPr>
      <w:proofErr w:type="spellStart"/>
      <w:r w:rsidRPr="00620102">
        <w:rPr>
          <w:sz w:val="20"/>
          <w:lang w:val="en-US"/>
        </w:rPr>
        <w:t>Soares</w:t>
      </w:r>
      <w:proofErr w:type="spellEnd"/>
      <w:r w:rsidRPr="00620102">
        <w:rPr>
          <w:sz w:val="20"/>
          <w:lang w:val="en-US"/>
        </w:rPr>
        <w:t xml:space="preserve"> </w:t>
      </w:r>
      <w:proofErr w:type="gramStart"/>
      <w:r w:rsidRPr="00620102">
        <w:rPr>
          <w:sz w:val="20"/>
          <w:lang w:val="en-US"/>
        </w:rPr>
        <w:t>et</w:t>
      </w:r>
      <w:proofErr w:type="gramEnd"/>
      <w:r w:rsidRPr="00620102">
        <w:rPr>
          <w:sz w:val="20"/>
          <w:lang w:val="en-US"/>
        </w:rPr>
        <w:t xml:space="preserve"> </w:t>
      </w:r>
      <w:proofErr w:type="spellStart"/>
      <w:r w:rsidRPr="00620102">
        <w:rPr>
          <w:sz w:val="20"/>
          <w:lang w:val="en-US"/>
        </w:rPr>
        <w:t>al.</w:t>
      </w:r>
      <w:r w:rsidRPr="00620102">
        <w:rPr>
          <w:color w:val="000000"/>
          <w:sz w:val="20"/>
          <w:lang w:val="en-US"/>
        </w:rPr>
        <w:t>Oceanic</w:t>
      </w:r>
      <w:proofErr w:type="spellEnd"/>
      <w:r w:rsidRPr="00620102">
        <w:rPr>
          <w:color w:val="000000"/>
          <w:sz w:val="20"/>
          <w:lang w:val="en-US"/>
        </w:rPr>
        <w:t xml:space="preserve"> and atmospheric patterns during spawning periods prior to extreme catches of the Brazilian sardine (</w:t>
      </w:r>
      <w:proofErr w:type="spellStart"/>
      <w:r w:rsidRPr="00620102">
        <w:rPr>
          <w:i/>
          <w:iCs/>
          <w:color w:val="000000"/>
          <w:sz w:val="20"/>
          <w:lang w:val="en-US"/>
        </w:rPr>
        <w:t>Sardinella</w:t>
      </w:r>
      <w:proofErr w:type="spellEnd"/>
      <w:r w:rsidRPr="00620102">
        <w:rPr>
          <w:i/>
          <w:iCs/>
          <w:color w:val="000000"/>
          <w:sz w:val="20"/>
          <w:lang w:val="en-US"/>
        </w:rPr>
        <w:t xml:space="preserve"> </w:t>
      </w:r>
      <w:proofErr w:type="spellStart"/>
      <w:r w:rsidRPr="00620102">
        <w:rPr>
          <w:i/>
          <w:iCs/>
          <w:color w:val="000000"/>
          <w:sz w:val="20"/>
          <w:lang w:val="en-US"/>
        </w:rPr>
        <w:t>brasiliensis</w:t>
      </w:r>
      <w:proofErr w:type="spellEnd"/>
      <w:r w:rsidRPr="00620102">
        <w:rPr>
          <w:color w:val="000000"/>
          <w:sz w:val="20"/>
          <w:lang w:val="en-US"/>
        </w:rPr>
        <w:t xml:space="preserve">) in the southwest Atlantic. </w:t>
      </w:r>
      <w:proofErr w:type="spellStart"/>
      <w:r w:rsidRPr="00620102">
        <w:rPr>
          <w:b/>
          <w:bCs/>
          <w:color w:val="000000"/>
          <w:sz w:val="20"/>
          <w:lang w:val="en-US"/>
        </w:rPr>
        <w:t>Scientia</w:t>
      </w:r>
      <w:proofErr w:type="spellEnd"/>
      <w:r w:rsidRPr="00620102">
        <w:rPr>
          <w:b/>
          <w:bCs/>
          <w:color w:val="000000"/>
          <w:sz w:val="20"/>
          <w:lang w:val="en-US"/>
        </w:rPr>
        <w:t xml:space="preserve"> Marina</w:t>
      </w:r>
      <w:r w:rsidRPr="00620102">
        <w:rPr>
          <w:color w:val="000000"/>
          <w:sz w:val="20"/>
          <w:lang w:val="en-US"/>
        </w:rPr>
        <w:t>, 2011.v. 75, n. 4, p. 665-677.</w:t>
      </w:r>
    </w:p>
    <w:p w:rsidR="00A774C8" w:rsidRPr="00620102" w:rsidRDefault="00A774C8" w:rsidP="00620102">
      <w:pPr>
        <w:spacing w:before="240" w:after="80"/>
        <w:rPr>
          <w:color w:val="000000"/>
          <w:sz w:val="20"/>
          <w:lang w:val="en-US"/>
        </w:rPr>
      </w:pPr>
      <w:r w:rsidRPr="00620102">
        <w:rPr>
          <w:color w:val="000000"/>
          <w:sz w:val="20"/>
          <w:lang w:val="en-US"/>
        </w:rPr>
        <w:lastRenderedPageBreak/>
        <w:t xml:space="preserve"> Souza, R. B.; Robinson, I. S. </w:t>
      </w:r>
      <w:proofErr w:type="spellStart"/>
      <w:r w:rsidRPr="00620102">
        <w:rPr>
          <w:color w:val="000000"/>
          <w:sz w:val="20"/>
          <w:lang w:val="en-US"/>
        </w:rPr>
        <w:t>Lagrangian</w:t>
      </w:r>
      <w:proofErr w:type="spellEnd"/>
      <w:r w:rsidRPr="00620102">
        <w:rPr>
          <w:color w:val="000000"/>
          <w:sz w:val="20"/>
          <w:lang w:val="en-US"/>
        </w:rPr>
        <w:t xml:space="preserve"> and satellite observations of the Brazilian Coastal Current. </w:t>
      </w:r>
      <w:r w:rsidRPr="00620102">
        <w:rPr>
          <w:b/>
          <w:bCs/>
          <w:color w:val="000000"/>
          <w:sz w:val="20"/>
          <w:lang w:val="en-US"/>
        </w:rPr>
        <w:t>Continental Shelf Research</w:t>
      </w:r>
      <w:r w:rsidRPr="00620102">
        <w:rPr>
          <w:color w:val="000000"/>
          <w:sz w:val="20"/>
          <w:lang w:val="en-US"/>
        </w:rPr>
        <w:t xml:space="preserve">, 2004. v.24, p.241-262.  </w:t>
      </w:r>
    </w:p>
    <w:p w:rsidR="00A774C8" w:rsidRPr="00620102" w:rsidRDefault="00A774C8" w:rsidP="00620102">
      <w:pPr>
        <w:spacing w:before="240" w:after="80"/>
        <w:rPr>
          <w:rStyle w:val="fontstyle01"/>
          <w:rFonts w:ascii="Times New Roman" w:hAnsi="Times New Roman"/>
          <w:sz w:val="20"/>
          <w:szCs w:val="20"/>
          <w:lang w:val="en-US"/>
        </w:rPr>
      </w:pPr>
      <w:proofErr w:type="spellStart"/>
      <w:r w:rsidRPr="00620102">
        <w:rPr>
          <w:rStyle w:val="fontstyle01"/>
          <w:rFonts w:ascii="Times New Roman" w:hAnsi="Times New Roman"/>
          <w:sz w:val="20"/>
          <w:szCs w:val="20"/>
          <w:lang w:val="en-US"/>
        </w:rPr>
        <w:t>Sunyé</w:t>
      </w:r>
      <w:proofErr w:type="spellEnd"/>
      <w:r w:rsidRPr="00620102">
        <w:rPr>
          <w:rStyle w:val="fontstyle01"/>
          <w:rFonts w:ascii="Times New Roman" w:hAnsi="Times New Roman"/>
          <w:sz w:val="20"/>
          <w:szCs w:val="20"/>
          <w:lang w:val="en-US"/>
        </w:rPr>
        <w:t xml:space="preserve"> PS, </w:t>
      </w:r>
      <w:proofErr w:type="spellStart"/>
      <w:r w:rsidRPr="00620102">
        <w:rPr>
          <w:rStyle w:val="fontstyle01"/>
          <w:rFonts w:ascii="Times New Roman" w:hAnsi="Times New Roman"/>
          <w:sz w:val="20"/>
          <w:szCs w:val="20"/>
          <w:lang w:val="en-US"/>
        </w:rPr>
        <w:t>Servain</w:t>
      </w:r>
      <w:proofErr w:type="spellEnd"/>
      <w:r w:rsidRPr="00620102">
        <w:rPr>
          <w:rStyle w:val="fontstyle01"/>
          <w:rFonts w:ascii="Times New Roman" w:hAnsi="Times New Roman"/>
          <w:sz w:val="20"/>
          <w:szCs w:val="20"/>
          <w:lang w:val="en-US"/>
        </w:rPr>
        <w:t xml:space="preserve"> J. Effects of seasonal variations in meteorology and oceanography</w:t>
      </w:r>
      <w:r w:rsidRPr="00620102">
        <w:rPr>
          <w:color w:val="000000"/>
          <w:sz w:val="20"/>
          <w:lang w:val="en-US"/>
        </w:rPr>
        <w:br/>
      </w:r>
      <w:r w:rsidRPr="00620102">
        <w:rPr>
          <w:rStyle w:val="fontstyle01"/>
          <w:rFonts w:ascii="Times New Roman" w:hAnsi="Times New Roman"/>
          <w:sz w:val="20"/>
          <w:szCs w:val="20"/>
          <w:lang w:val="en-US"/>
        </w:rPr>
        <w:t>on the Brazilian sardine fishery. Fisheries Oceanography. 1998; 7: 89-100.</w:t>
      </w:r>
    </w:p>
    <w:p w:rsidR="00A774C8" w:rsidRPr="00620102" w:rsidRDefault="00A774C8" w:rsidP="00620102">
      <w:pPr>
        <w:spacing w:before="240" w:after="80"/>
        <w:rPr>
          <w:color w:val="000000"/>
          <w:sz w:val="20"/>
          <w:lang w:val="en-US"/>
        </w:rPr>
      </w:pPr>
      <w:r w:rsidRPr="00620102">
        <w:rPr>
          <w:sz w:val="20"/>
          <w:lang w:val="en-US"/>
        </w:rPr>
        <w:t xml:space="preserve">Van Der </w:t>
      </w:r>
      <w:proofErr w:type="spellStart"/>
      <w:r w:rsidRPr="00620102">
        <w:rPr>
          <w:sz w:val="20"/>
          <w:lang w:val="en-US"/>
        </w:rPr>
        <w:t>Lingen</w:t>
      </w:r>
      <w:proofErr w:type="spellEnd"/>
      <w:r w:rsidRPr="00620102">
        <w:rPr>
          <w:color w:val="000000"/>
          <w:sz w:val="20"/>
          <w:lang w:val="en-US"/>
        </w:rPr>
        <w:t>, C. D. Characterizing spawning habitat of anchovy (</w:t>
      </w:r>
      <w:proofErr w:type="spellStart"/>
      <w:r w:rsidRPr="00620102">
        <w:rPr>
          <w:i/>
          <w:iCs/>
          <w:color w:val="000000"/>
          <w:sz w:val="20"/>
          <w:lang w:val="en-US"/>
        </w:rPr>
        <w:t>Engraulis</w:t>
      </w:r>
      <w:proofErr w:type="spellEnd"/>
      <w:r w:rsidRPr="00620102">
        <w:rPr>
          <w:color w:val="000000"/>
          <w:sz w:val="20"/>
          <w:lang w:val="en-US"/>
        </w:rPr>
        <w:br/>
      </w:r>
      <w:proofErr w:type="spellStart"/>
      <w:r w:rsidRPr="00620102">
        <w:rPr>
          <w:i/>
          <w:iCs/>
          <w:color w:val="000000"/>
          <w:sz w:val="20"/>
          <w:lang w:val="en-US"/>
        </w:rPr>
        <w:t>encrasicolus</w:t>
      </w:r>
      <w:proofErr w:type="spellEnd"/>
      <w:r w:rsidRPr="00620102">
        <w:rPr>
          <w:color w:val="000000"/>
          <w:sz w:val="20"/>
          <w:lang w:val="en-US"/>
        </w:rPr>
        <w:t>), redeye round herring (</w:t>
      </w:r>
      <w:proofErr w:type="spellStart"/>
      <w:r w:rsidRPr="00620102">
        <w:rPr>
          <w:color w:val="000000"/>
          <w:sz w:val="20"/>
          <w:lang w:val="en-US"/>
        </w:rPr>
        <w:t>Etrumeus</w:t>
      </w:r>
      <w:proofErr w:type="spellEnd"/>
      <w:r w:rsidRPr="00620102">
        <w:rPr>
          <w:color w:val="000000"/>
          <w:sz w:val="20"/>
          <w:lang w:val="en-US"/>
        </w:rPr>
        <w:t xml:space="preserve"> </w:t>
      </w:r>
      <w:proofErr w:type="spellStart"/>
      <w:r w:rsidRPr="00620102">
        <w:rPr>
          <w:color w:val="000000"/>
          <w:sz w:val="20"/>
          <w:lang w:val="en-US"/>
        </w:rPr>
        <w:t>whiteheadi</w:t>
      </w:r>
      <w:proofErr w:type="spellEnd"/>
      <w:r w:rsidRPr="00620102">
        <w:rPr>
          <w:color w:val="000000"/>
          <w:sz w:val="20"/>
          <w:lang w:val="en-US"/>
        </w:rPr>
        <w:t>), and sardine (</w:t>
      </w:r>
      <w:proofErr w:type="spellStart"/>
      <w:r w:rsidRPr="00620102">
        <w:rPr>
          <w:color w:val="000000"/>
          <w:sz w:val="20"/>
          <w:lang w:val="en-US"/>
        </w:rPr>
        <w:t>Sardinops</w:t>
      </w:r>
      <w:proofErr w:type="spellEnd"/>
      <w:r w:rsidRPr="00620102">
        <w:rPr>
          <w:color w:val="000000"/>
          <w:sz w:val="20"/>
          <w:lang w:val="en-US"/>
        </w:rPr>
        <w:t xml:space="preserve"> </w:t>
      </w:r>
      <w:proofErr w:type="spellStart"/>
      <w:r w:rsidRPr="00620102">
        <w:rPr>
          <w:color w:val="000000"/>
          <w:sz w:val="20"/>
          <w:lang w:val="en-US"/>
        </w:rPr>
        <w:t>sagax</w:t>
      </w:r>
      <w:proofErr w:type="spellEnd"/>
      <w:r w:rsidRPr="00620102">
        <w:rPr>
          <w:color w:val="000000"/>
          <w:sz w:val="20"/>
          <w:lang w:val="en-US"/>
        </w:rPr>
        <w:t xml:space="preserve">) from CUFES sampling in the Southern </w:t>
      </w:r>
      <w:proofErr w:type="spellStart"/>
      <w:r w:rsidRPr="00620102">
        <w:rPr>
          <w:color w:val="000000"/>
          <w:sz w:val="20"/>
          <w:lang w:val="en-US"/>
        </w:rPr>
        <w:t>Benguela</w:t>
      </w:r>
      <w:proofErr w:type="spellEnd"/>
      <w:r w:rsidRPr="00620102">
        <w:rPr>
          <w:color w:val="000000"/>
          <w:sz w:val="20"/>
          <w:lang w:val="en-US"/>
        </w:rPr>
        <w:t xml:space="preserve">. </w:t>
      </w:r>
      <w:r w:rsidRPr="00620102">
        <w:rPr>
          <w:b/>
          <w:bCs/>
          <w:color w:val="000000"/>
          <w:sz w:val="20"/>
          <w:lang w:val="en-US"/>
        </w:rPr>
        <w:t>Report of Global Ocean</w:t>
      </w:r>
      <w:r w:rsidRPr="00620102">
        <w:rPr>
          <w:color w:val="000000"/>
          <w:sz w:val="20"/>
          <w:lang w:val="en-US"/>
        </w:rPr>
        <w:br/>
      </w:r>
      <w:r w:rsidRPr="00620102">
        <w:rPr>
          <w:b/>
          <w:bCs/>
          <w:color w:val="000000"/>
          <w:sz w:val="20"/>
          <w:lang w:val="en-US"/>
        </w:rPr>
        <w:t>Ecosystem dynamics (GLOBEC)</w:t>
      </w:r>
      <w:r w:rsidRPr="00620102">
        <w:rPr>
          <w:color w:val="000000"/>
          <w:sz w:val="20"/>
          <w:lang w:val="en-US"/>
        </w:rPr>
        <w:t xml:space="preserve">, n. 21, p. 29-30, Special issue on GLOBEC/SPACC Workshop on characterizing and comparing the </w:t>
      </w:r>
      <w:proofErr w:type="spellStart"/>
      <w:r w:rsidRPr="00620102">
        <w:rPr>
          <w:color w:val="000000"/>
          <w:sz w:val="20"/>
          <w:lang w:val="en-US"/>
        </w:rPr>
        <w:t>spawing</w:t>
      </w:r>
      <w:proofErr w:type="spellEnd"/>
      <w:r w:rsidRPr="00620102">
        <w:rPr>
          <w:color w:val="000000"/>
          <w:sz w:val="20"/>
          <w:lang w:val="en-US"/>
        </w:rPr>
        <w:t xml:space="preserve"> habitats of small pelagic fish. January 2005.</w:t>
      </w:r>
    </w:p>
    <w:p w:rsidR="00A774C8" w:rsidRPr="00620102" w:rsidRDefault="00A774C8" w:rsidP="00620102">
      <w:pPr>
        <w:spacing w:before="240" w:after="80"/>
        <w:rPr>
          <w:color w:val="000000"/>
          <w:sz w:val="20"/>
          <w:lang w:val="en-US"/>
        </w:rPr>
      </w:pPr>
      <w:proofErr w:type="spellStart"/>
      <w:r w:rsidRPr="00620102">
        <w:rPr>
          <w:color w:val="000000"/>
          <w:sz w:val="20"/>
          <w:lang w:val="en-US"/>
        </w:rPr>
        <w:t>Zar</w:t>
      </w:r>
      <w:proofErr w:type="spellEnd"/>
      <w:r w:rsidRPr="00620102">
        <w:rPr>
          <w:color w:val="000000"/>
          <w:sz w:val="20"/>
          <w:lang w:val="en-US"/>
        </w:rPr>
        <w:t xml:space="preserve">, J. H. </w:t>
      </w:r>
      <w:proofErr w:type="spellStart"/>
      <w:r w:rsidRPr="00620102">
        <w:rPr>
          <w:color w:val="000000"/>
          <w:sz w:val="20"/>
          <w:lang w:val="en-US"/>
        </w:rPr>
        <w:t>Biostatistical</w:t>
      </w:r>
      <w:proofErr w:type="spellEnd"/>
      <w:r w:rsidRPr="00620102">
        <w:rPr>
          <w:color w:val="000000"/>
          <w:sz w:val="20"/>
          <w:lang w:val="en-US"/>
        </w:rPr>
        <w:t xml:space="preserve"> analysis. 4. </w:t>
      </w:r>
      <w:r w:rsidRPr="00620102">
        <w:rPr>
          <w:b/>
          <w:color w:val="000000"/>
          <w:sz w:val="20"/>
          <w:lang w:val="en-US"/>
        </w:rPr>
        <w:t>Ed. New Jersey</w:t>
      </w:r>
      <w:r w:rsidRPr="00620102">
        <w:rPr>
          <w:color w:val="000000"/>
          <w:sz w:val="20"/>
          <w:lang w:val="en-US"/>
        </w:rPr>
        <w:t xml:space="preserve">: Prentice Hall, 1999.p.911. </w:t>
      </w:r>
    </w:p>
    <w:p w:rsidR="00A774C8" w:rsidRPr="00620102" w:rsidRDefault="00A774C8" w:rsidP="00620102">
      <w:pPr>
        <w:spacing w:before="240" w:after="80"/>
        <w:rPr>
          <w:color w:val="000000"/>
          <w:sz w:val="20"/>
        </w:rPr>
      </w:pPr>
      <w:r w:rsidRPr="00620102">
        <w:rPr>
          <w:color w:val="000000"/>
          <w:sz w:val="20"/>
        </w:rPr>
        <w:t xml:space="preserve">Yoneda, N. T. </w:t>
      </w:r>
      <w:r w:rsidRPr="00620102">
        <w:rPr>
          <w:b/>
          <w:bCs/>
          <w:color w:val="000000"/>
          <w:sz w:val="20"/>
        </w:rPr>
        <w:t xml:space="preserve">Criação em laboratório de larvas da sardinha-verdadeira </w:t>
      </w:r>
      <w:r w:rsidRPr="00620102">
        <w:rPr>
          <w:b/>
          <w:bCs/>
          <w:i/>
          <w:iCs/>
          <w:color w:val="000000"/>
          <w:sz w:val="20"/>
        </w:rPr>
        <w:t xml:space="preserve">Sardinella brasiliensis </w:t>
      </w:r>
      <w:r w:rsidRPr="00620102">
        <w:rPr>
          <w:b/>
          <w:bCs/>
          <w:color w:val="000000"/>
          <w:sz w:val="20"/>
        </w:rPr>
        <w:t>e estudo dos incrementos diários nos otólitos</w:t>
      </w:r>
      <w:r w:rsidRPr="00620102">
        <w:rPr>
          <w:color w:val="000000"/>
          <w:sz w:val="20"/>
        </w:rPr>
        <w:t>. Dissertação (Mestrado em Oceanografia Biológica) - Universidade de São Paulo, Instituto Oceanográfico, São Paulo, 1987.</w:t>
      </w:r>
    </w:p>
    <w:p w:rsidR="00A774C8" w:rsidRPr="00620102" w:rsidRDefault="00A774C8" w:rsidP="00620102">
      <w:pPr>
        <w:spacing w:before="240" w:after="60"/>
        <w:rPr>
          <w:color w:val="000000"/>
          <w:sz w:val="20"/>
        </w:rPr>
      </w:pPr>
    </w:p>
    <w:p w:rsidR="00A774C8" w:rsidRPr="00F4254D" w:rsidRDefault="00A774C8" w:rsidP="00620102">
      <w:pPr>
        <w:spacing w:before="240"/>
        <w:rPr>
          <w:sz w:val="20"/>
        </w:rPr>
      </w:pPr>
    </w:p>
    <w:p w:rsidR="00A774C8" w:rsidRPr="00AD4301" w:rsidRDefault="00A774C8" w:rsidP="00620102">
      <w:pPr>
        <w:pStyle w:val="Normal1"/>
        <w:spacing w:before="240" w:after="0" w:line="240" w:lineRule="auto"/>
        <w:jc w:val="both"/>
        <w:rPr>
          <w:rFonts w:ascii="Times New Roman" w:hAnsi="Times New Roman"/>
          <w:sz w:val="20"/>
          <w:szCs w:val="20"/>
        </w:rPr>
      </w:pPr>
      <w:r w:rsidRPr="00AD4301">
        <w:rPr>
          <w:rFonts w:ascii="Times New Roman" w:hAnsi="Times New Roman"/>
          <w:sz w:val="20"/>
          <w:szCs w:val="20"/>
        </w:rPr>
        <w:t xml:space="preserve"> </w:t>
      </w:r>
    </w:p>
    <w:p w:rsidR="00A774C8" w:rsidRPr="00AD4301" w:rsidRDefault="00A774C8" w:rsidP="00620102">
      <w:pPr>
        <w:pStyle w:val="Normal1"/>
        <w:spacing w:before="240" w:after="0" w:line="240" w:lineRule="auto"/>
        <w:jc w:val="both"/>
        <w:rPr>
          <w:rFonts w:ascii="Times New Roman" w:hAnsi="Times New Roman"/>
          <w:sz w:val="20"/>
          <w:szCs w:val="20"/>
        </w:rPr>
      </w:pPr>
    </w:p>
    <w:p w:rsidR="00A774C8" w:rsidRDefault="00A774C8" w:rsidP="00620102">
      <w:pPr>
        <w:spacing w:before="240"/>
      </w:pPr>
    </w:p>
    <w:p w:rsidR="00A774C8" w:rsidRPr="00AD4301" w:rsidRDefault="00A774C8" w:rsidP="00620102">
      <w:pPr>
        <w:spacing w:before="240"/>
        <w:rPr>
          <w:sz w:val="20"/>
        </w:rPr>
      </w:pPr>
    </w:p>
    <w:p w:rsidR="00A774C8" w:rsidRDefault="00A774C8" w:rsidP="00620102">
      <w:pPr>
        <w:spacing w:before="240"/>
      </w:pPr>
    </w:p>
    <w:sectPr w:rsidR="00A774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Droid Sans Fallback">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D03C91"/>
    <w:multiLevelType w:val="multilevel"/>
    <w:tmpl w:val="8C1C74A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5AA72DC"/>
    <w:multiLevelType w:val="multilevel"/>
    <w:tmpl w:val="754073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6863850"/>
    <w:multiLevelType w:val="multilevel"/>
    <w:tmpl w:val="4C98B5DC"/>
    <w:lvl w:ilvl="0">
      <w:start w:val="1"/>
      <w:numFmt w:val="decimal"/>
      <w:lvlText w:val="%1."/>
      <w:lvlJc w:val="left"/>
      <w:pPr>
        <w:ind w:left="360" w:hanging="360"/>
      </w:pPr>
    </w:lvl>
    <w:lvl w:ilvl="1">
      <w:start w:val="2"/>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51877145"/>
    <w:multiLevelType w:val="multilevel"/>
    <w:tmpl w:val="6F9669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4C8"/>
    <w:rsid w:val="00005426"/>
    <w:rsid w:val="000E6B54"/>
    <w:rsid w:val="002F300D"/>
    <w:rsid w:val="00322606"/>
    <w:rsid w:val="004200C1"/>
    <w:rsid w:val="00450D85"/>
    <w:rsid w:val="004E4C33"/>
    <w:rsid w:val="004F23EF"/>
    <w:rsid w:val="005A5A6D"/>
    <w:rsid w:val="00620102"/>
    <w:rsid w:val="00644A46"/>
    <w:rsid w:val="006E226F"/>
    <w:rsid w:val="007456F1"/>
    <w:rsid w:val="007B0920"/>
    <w:rsid w:val="007B2F69"/>
    <w:rsid w:val="00830872"/>
    <w:rsid w:val="00867E11"/>
    <w:rsid w:val="008F11EC"/>
    <w:rsid w:val="0092587A"/>
    <w:rsid w:val="009409F5"/>
    <w:rsid w:val="009D1BF3"/>
    <w:rsid w:val="00A774C8"/>
    <w:rsid w:val="00D908B6"/>
    <w:rsid w:val="00E24DAC"/>
    <w:rsid w:val="00E57B98"/>
    <w:rsid w:val="00E77ECD"/>
    <w:rsid w:val="00EF4959"/>
    <w:rsid w:val="00F14E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99A2D2-E255-4860-A44E-5BB23F81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4C8"/>
    <w:pPr>
      <w:spacing w:after="0" w:line="240" w:lineRule="auto"/>
    </w:pPr>
    <w:rPr>
      <w:rFonts w:ascii="Times New Roman" w:eastAsia="Times New Roman" w:hAnsi="Times New Roman" w:cs="Times New Roman"/>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o">
    <w:name w:val="Seção"/>
    <w:basedOn w:val="Normal"/>
    <w:rsid w:val="00A774C8"/>
    <w:pPr>
      <w:keepNext/>
      <w:keepLines/>
      <w:spacing w:before="240" w:after="120"/>
    </w:pPr>
    <w:rPr>
      <w:b/>
    </w:rPr>
  </w:style>
  <w:style w:type="paragraph" w:customStyle="1" w:styleId="Normal1">
    <w:name w:val="Normal1"/>
    <w:rsid w:val="00A774C8"/>
    <w:pPr>
      <w:suppressAutoHyphens/>
      <w:spacing w:after="200" w:line="276" w:lineRule="auto"/>
      <w:textAlignment w:val="baseline"/>
    </w:pPr>
    <w:rPr>
      <w:rFonts w:ascii="Calibri" w:eastAsia="Calibri" w:hAnsi="Calibri" w:cs="Times New Roman"/>
      <w:sz w:val="24"/>
      <w:szCs w:val="24"/>
    </w:rPr>
  </w:style>
  <w:style w:type="character" w:customStyle="1" w:styleId="fontstyle01">
    <w:name w:val="fontstyle01"/>
    <w:basedOn w:val="DefaultParagraphFont"/>
    <w:rsid w:val="00A774C8"/>
    <w:rPr>
      <w:rFonts w:ascii="Times-Roman" w:hAnsi="Times-Roman" w:hint="default"/>
      <w:b w:val="0"/>
      <w:bCs w:val="0"/>
      <w:i w:val="0"/>
      <w:iCs w:val="0"/>
      <w:color w:val="000000"/>
      <w:sz w:val="24"/>
      <w:szCs w:val="24"/>
    </w:rPr>
  </w:style>
  <w:style w:type="character" w:customStyle="1" w:styleId="fontstyle21">
    <w:name w:val="fontstyle21"/>
    <w:basedOn w:val="DefaultParagraphFont"/>
    <w:rsid w:val="00A774C8"/>
    <w:rPr>
      <w:rFonts w:ascii="Times-Italic" w:hAnsi="Times-Italic" w:hint="default"/>
      <w:b w:val="0"/>
      <w:bCs w:val="0"/>
      <w:i/>
      <w:iCs/>
      <w:color w:val="000000"/>
      <w:sz w:val="24"/>
      <w:szCs w:val="24"/>
    </w:rPr>
  </w:style>
  <w:style w:type="paragraph" w:styleId="ListParagraph">
    <w:name w:val="List Paragraph"/>
    <w:basedOn w:val="Normal"/>
    <w:uiPriority w:val="34"/>
    <w:qFormat/>
    <w:rsid w:val="00A774C8"/>
    <w:pPr>
      <w:ind w:left="720"/>
      <w:contextualSpacing/>
    </w:pPr>
  </w:style>
  <w:style w:type="paragraph" w:customStyle="1" w:styleId="FrameContents">
    <w:name w:val="Frame Contents"/>
    <w:basedOn w:val="Normal1"/>
    <w:rsid w:val="00A774C8"/>
  </w:style>
  <w:style w:type="paragraph" w:styleId="BodyText">
    <w:name w:val="Body Text"/>
    <w:basedOn w:val="Normal"/>
    <w:link w:val="BodyTextChar"/>
    <w:rsid w:val="005A5A6D"/>
    <w:pPr>
      <w:spacing w:line="360" w:lineRule="auto"/>
      <w:ind w:firstLine="567"/>
      <w:jc w:val="both"/>
    </w:pPr>
  </w:style>
  <w:style w:type="character" w:customStyle="1" w:styleId="BodyTextChar">
    <w:name w:val="Body Text Char"/>
    <w:basedOn w:val="DefaultParagraphFont"/>
    <w:link w:val="BodyText"/>
    <w:rsid w:val="005A5A6D"/>
    <w:rPr>
      <w:rFonts w:ascii="Times New Roman" w:eastAsia="Times New Roman" w:hAnsi="Times New Roman" w:cs="Times New Roman"/>
      <w:sz w:val="24"/>
      <w:szCs w:val="20"/>
      <w:lang w:eastAsia="pt-BR"/>
    </w:rPr>
  </w:style>
  <w:style w:type="character" w:customStyle="1" w:styleId="apple-converted-space">
    <w:name w:val="apple-converted-space"/>
    <w:basedOn w:val="DefaultParagraphFont"/>
    <w:rsid w:val="00D90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png"/><Relationship Id="rId5" Type="http://schemas.openxmlformats.org/officeDocument/2006/relationships/image" Target="media/image1.tif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16</Pages>
  <Words>4370</Words>
  <Characters>23598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dc:creator>
  <cp:keywords/>
  <dc:description/>
  <cp:lastModifiedBy>Mai</cp:lastModifiedBy>
  <cp:revision>10</cp:revision>
  <dcterms:created xsi:type="dcterms:W3CDTF">2016-12-11T22:10:00Z</dcterms:created>
  <dcterms:modified xsi:type="dcterms:W3CDTF">2016-12-12T11:42:00Z</dcterms:modified>
</cp:coreProperties>
</file>